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3A" w:rsidRPr="008003FC" w:rsidRDefault="00E21D3A" w:rsidP="00E21D3A">
      <w:pPr>
        <w:pStyle w:val="MiejscowoData"/>
      </w:pPr>
      <w:r w:rsidRPr="008003FC">
        <w:t xml:space="preserve">Piotrków Trybunalski, </w:t>
      </w:r>
      <w:bookmarkStart w:id="0" w:name="ezdDataPodpisu"/>
      <w:r w:rsidRPr="008003FC">
        <w:t>28-10-2024</w:t>
      </w:r>
      <w:bookmarkEnd w:id="0"/>
    </w:p>
    <w:p w:rsidR="00E21D3A" w:rsidRDefault="00E21D3A" w:rsidP="00E21D3A">
      <w:pPr>
        <w:pStyle w:val="Piecztka1"/>
      </w:pPr>
    </w:p>
    <w:p w:rsidR="00E21D3A" w:rsidRDefault="00E21D3A" w:rsidP="00E21D3A">
      <w:pPr>
        <w:pStyle w:val="Piecztka2"/>
      </w:pPr>
    </w:p>
    <w:p w:rsidR="00E21D3A" w:rsidRDefault="00E21D3A" w:rsidP="00E21D3A">
      <w:pPr>
        <w:pStyle w:val="Znaksprawy"/>
      </w:pPr>
      <w:bookmarkStart w:id="1" w:name="ezdSprawaZnak"/>
      <w:r>
        <w:t>PKW.1711.2.2023</w:t>
      </w:r>
      <w:bookmarkEnd w:id="1"/>
    </w:p>
    <w:p w:rsidR="00E21D3A" w:rsidRPr="00C7019F" w:rsidRDefault="00E21D3A" w:rsidP="00E21D3A">
      <w:pPr>
        <w:pStyle w:val="Adresat"/>
        <w:spacing w:after="680"/>
        <w:rPr>
          <w:b/>
          <w:sz w:val="24"/>
          <w:szCs w:val="24"/>
        </w:rPr>
      </w:pPr>
      <w:r>
        <w:rPr>
          <w:b/>
          <w:sz w:val="24"/>
          <w:szCs w:val="24"/>
        </w:rPr>
        <w:br/>
      </w:r>
      <w:r>
        <w:rPr>
          <w:b/>
          <w:sz w:val="24"/>
          <w:szCs w:val="24"/>
        </w:rPr>
        <w:br/>
      </w:r>
      <w:r w:rsidRPr="00C7019F">
        <w:rPr>
          <w:b/>
          <w:sz w:val="24"/>
          <w:szCs w:val="24"/>
        </w:rPr>
        <w:t>Pan Marcin Masiarek</w:t>
      </w:r>
      <w:r w:rsidRPr="00C7019F">
        <w:rPr>
          <w:b/>
          <w:sz w:val="24"/>
          <w:szCs w:val="24"/>
        </w:rPr>
        <w:br/>
        <w:t xml:space="preserve">p.o. Dyrektora </w:t>
      </w:r>
      <w:r w:rsidRPr="00C7019F">
        <w:rPr>
          <w:b/>
          <w:sz w:val="24"/>
          <w:szCs w:val="24"/>
        </w:rPr>
        <w:br/>
        <w:t>Ośrodka Sportu i Rekreacji</w:t>
      </w:r>
      <w:r w:rsidRPr="00C7019F">
        <w:rPr>
          <w:b/>
          <w:sz w:val="24"/>
          <w:szCs w:val="24"/>
        </w:rPr>
        <w:br/>
        <w:t>w Piotrkowie Trybunalskim,</w:t>
      </w:r>
      <w:r w:rsidRPr="00C7019F">
        <w:rPr>
          <w:b/>
          <w:sz w:val="24"/>
          <w:szCs w:val="24"/>
        </w:rPr>
        <w:br/>
        <w:t>ul. S. Batorego 8</w:t>
      </w:r>
      <w:r w:rsidRPr="00C7019F">
        <w:rPr>
          <w:b/>
          <w:sz w:val="24"/>
          <w:szCs w:val="24"/>
        </w:rPr>
        <w:br/>
        <w:t>97-300 Piotrków Trybunalski</w:t>
      </w:r>
    </w:p>
    <w:p w:rsidR="00E21D3A" w:rsidRDefault="00E21D3A" w:rsidP="00E21D3A">
      <w:pPr>
        <w:pStyle w:val="Trepisma"/>
        <w:rPr>
          <w:szCs w:val="24"/>
        </w:rPr>
      </w:pPr>
      <w:bookmarkStart w:id="2" w:name="_Hlk61333269"/>
    </w:p>
    <w:p w:rsidR="00E21D3A" w:rsidRDefault="00E21D3A" w:rsidP="00E21D3A">
      <w:pPr>
        <w:pStyle w:val="Trepisma"/>
        <w:ind w:left="0"/>
        <w:jc w:val="center"/>
        <w:rPr>
          <w:szCs w:val="24"/>
        </w:rPr>
      </w:pPr>
    </w:p>
    <w:p w:rsidR="00E21D3A" w:rsidRDefault="00E21D3A" w:rsidP="00E21D3A">
      <w:pPr>
        <w:pStyle w:val="Trepisma"/>
        <w:ind w:left="0"/>
        <w:jc w:val="center"/>
        <w:rPr>
          <w:szCs w:val="24"/>
        </w:rPr>
      </w:pPr>
    </w:p>
    <w:p w:rsidR="00E21D3A" w:rsidRDefault="00E21D3A" w:rsidP="00E21D3A">
      <w:pPr>
        <w:pStyle w:val="Trepisma"/>
        <w:ind w:left="0"/>
        <w:jc w:val="center"/>
        <w:rPr>
          <w:szCs w:val="24"/>
        </w:rPr>
      </w:pPr>
    </w:p>
    <w:p w:rsidR="00E21D3A" w:rsidRPr="00A67127" w:rsidRDefault="00E21D3A" w:rsidP="00E21D3A">
      <w:pPr>
        <w:pStyle w:val="Trepisma"/>
        <w:ind w:left="0"/>
        <w:jc w:val="center"/>
        <w:rPr>
          <w:szCs w:val="24"/>
        </w:rPr>
      </w:pPr>
      <w:r w:rsidRPr="00A67127">
        <w:rPr>
          <w:szCs w:val="24"/>
        </w:rPr>
        <w:t>WYSTĄPIENIE POKONTROLNE</w:t>
      </w:r>
    </w:p>
    <w:p w:rsidR="00E21D3A" w:rsidRPr="00A67127" w:rsidRDefault="00E21D3A" w:rsidP="00E21D3A">
      <w:pPr>
        <w:pStyle w:val="Trepisma"/>
        <w:ind w:left="0"/>
        <w:jc w:val="center"/>
        <w:rPr>
          <w:szCs w:val="24"/>
        </w:rPr>
      </w:pPr>
    </w:p>
    <w:p w:rsidR="00E21D3A" w:rsidRDefault="00E21D3A" w:rsidP="00E21D3A">
      <w:pPr>
        <w:pStyle w:val="Trepisma"/>
        <w:rPr>
          <w:szCs w:val="24"/>
        </w:rPr>
      </w:pPr>
    </w:p>
    <w:p w:rsidR="00E21D3A" w:rsidRPr="00A67127" w:rsidRDefault="00E21D3A" w:rsidP="00E21D3A">
      <w:pPr>
        <w:spacing w:after="120" w:line="360" w:lineRule="auto"/>
        <w:ind w:firstLine="851"/>
        <w:jc w:val="both"/>
        <w:rPr>
          <w:rFonts w:cs="Arial"/>
        </w:rPr>
      </w:pPr>
      <w:r w:rsidRPr="00A67127">
        <w:rPr>
          <w:rFonts w:cs="Arial"/>
        </w:rPr>
        <w:t xml:space="preserve">Działając na podstawie § 11 ust. 1 Regulaminu przeprowadzania kontroli przez pracowników Biura Kontroli Urzędu Miasta Piotrkowa Trybunalskiego, stanowiącego Załącznik do Zarządzenia Nr 16 Prezydenta Miasta Piotrkowa Trybunalskiego z dnia 22.01.2020 r., Zespół kontrolujący w składzie: Aldona Ciupińska </w:t>
      </w:r>
      <w:r>
        <w:rPr>
          <w:rFonts w:cs="Arial"/>
        </w:rPr>
        <w:t>–</w:t>
      </w:r>
      <w:r w:rsidRPr="00A67127">
        <w:rPr>
          <w:rFonts w:cs="Arial"/>
        </w:rPr>
        <w:t xml:space="preserve"> Kierownik Biura Kontroli UM Piotrkowa Trybunalskiego, koordynator kontroli i</w:t>
      </w:r>
      <w:r>
        <w:rPr>
          <w:rFonts w:cs="Arial"/>
        </w:rPr>
        <w:t xml:space="preserve"> Magdalena Kudyba – inspektor w </w:t>
      </w:r>
      <w:r w:rsidRPr="00A67127">
        <w:rPr>
          <w:rFonts w:cs="Arial"/>
        </w:rPr>
        <w:t>Biurze Kontroli UM Piotrkowa Trybunalskiego przeprowadził w Ośrodku Sportu i Rekreacji w Piotrkowie Trybunalskim (dalej OSiR lub jednostka) planow</w:t>
      </w:r>
      <w:r>
        <w:rPr>
          <w:rFonts w:cs="Arial"/>
        </w:rPr>
        <w:t>ą kontrolę przestrzegania w </w:t>
      </w:r>
      <w:r w:rsidRPr="00A67127">
        <w:rPr>
          <w:rFonts w:cs="Arial"/>
        </w:rPr>
        <w:t>2022 r. zasad rozliczania podatku od towarów i usług określonych w zarządzeniu Prezydenta Miasta Piotrkowa Trybunalskiego w sprawie zasad centralizacji rozliczeń podatku od towarów i usług obowiązujących w Mieście Piotrków Trybunalski</w:t>
      </w:r>
      <w:r>
        <w:rPr>
          <w:rStyle w:val="Odwoanieprzypisudolnego"/>
          <w:rFonts w:cs="Arial"/>
        </w:rPr>
        <w:footnoteReference w:id="1"/>
      </w:r>
      <w:r w:rsidRPr="00A67127">
        <w:rPr>
          <w:rFonts w:cs="Arial"/>
        </w:rPr>
        <w:t xml:space="preserve">. </w:t>
      </w:r>
    </w:p>
    <w:p w:rsidR="00E21D3A" w:rsidRPr="00A67127" w:rsidRDefault="00E21D3A" w:rsidP="00E21D3A">
      <w:pPr>
        <w:spacing w:after="120" w:line="360" w:lineRule="auto"/>
        <w:jc w:val="both"/>
        <w:rPr>
          <w:rFonts w:cs="Arial"/>
        </w:rPr>
      </w:pPr>
      <w:r w:rsidRPr="00A67127">
        <w:rPr>
          <w:rFonts w:cs="Arial"/>
        </w:rPr>
        <w:lastRenderedPageBreak/>
        <w:t xml:space="preserve">Kontrola przeprowadzona została na podstawie upoważnienia Prezydenta Miasta PKW.1711.2.2023 z dnia 06.09.2023 r., a jej wyniki zawarte zostały w protokole kontroli podpisanym przez </w:t>
      </w:r>
      <w:r>
        <w:rPr>
          <w:rFonts w:cs="Arial"/>
        </w:rPr>
        <w:t xml:space="preserve">Pana </w:t>
      </w:r>
      <w:r w:rsidRPr="00A67127">
        <w:rPr>
          <w:rFonts w:cs="Arial"/>
        </w:rPr>
        <w:t xml:space="preserve">bez zastrzeżeń </w:t>
      </w:r>
      <w:r>
        <w:rPr>
          <w:rFonts w:cs="Arial"/>
        </w:rPr>
        <w:t xml:space="preserve">w </w:t>
      </w:r>
      <w:r w:rsidRPr="00A67127">
        <w:rPr>
          <w:rFonts w:cs="Arial"/>
        </w:rPr>
        <w:t xml:space="preserve">dniu 27.05.2024 r. </w:t>
      </w:r>
    </w:p>
    <w:p w:rsidR="00E21D3A" w:rsidRPr="00A67127" w:rsidRDefault="00E21D3A" w:rsidP="00E21D3A">
      <w:pPr>
        <w:spacing w:after="120" w:line="360" w:lineRule="auto"/>
        <w:jc w:val="both"/>
        <w:rPr>
          <w:rFonts w:cs="Arial"/>
        </w:rPr>
      </w:pPr>
      <w:r w:rsidRPr="00A67127">
        <w:rPr>
          <w:rFonts w:cs="Arial"/>
        </w:rPr>
        <w:t xml:space="preserve">W ramach czynności kontrolnych sprawdzono, czy </w:t>
      </w:r>
      <w:r>
        <w:rPr>
          <w:rFonts w:cs="Arial"/>
        </w:rPr>
        <w:t>kontrolowana</w:t>
      </w:r>
      <w:r w:rsidRPr="00A67127">
        <w:rPr>
          <w:rFonts w:cs="Arial"/>
        </w:rPr>
        <w:t xml:space="preserve"> jednostka w </w:t>
      </w:r>
      <w:r>
        <w:rPr>
          <w:rFonts w:cs="Arial"/>
        </w:rPr>
        <w:t xml:space="preserve">badanym </w:t>
      </w:r>
      <w:r w:rsidRPr="00A67127">
        <w:rPr>
          <w:rFonts w:cs="Arial"/>
        </w:rPr>
        <w:t>okresie realizowała obowiązki wynikając</w:t>
      </w:r>
      <w:r>
        <w:rPr>
          <w:rFonts w:cs="Arial"/>
        </w:rPr>
        <w:t>e z ustawy z dnia 11 marca 2004 r. o podatku od </w:t>
      </w:r>
      <w:r w:rsidRPr="00A67127">
        <w:rPr>
          <w:rFonts w:cs="Arial"/>
        </w:rPr>
        <w:t>towarów i usług</w:t>
      </w:r>
      <w:r>
        <w:rPr>
          <w:rStyle w:val="Odwoanieprzypisudolnego"/>
          <w:rFonts w:cs="Arial"/>
        </w:rPr>
        <w:footnoteReference w:id="2"/>
      </w:r>
      <w:r w:rsidRPr="00A67127">
        <w:rPr>
          <w:rFonts w:cs="Arial"/>
        </w:rPr>
        <w:t xml:space="preserve"> oraz z regulacji wewnętrznych określonych w Psrp </w:t>
      </w:r>
      <w:r>
        <w:rPr>
          <w:rFonts w:cs="Arial"/>
        </w:rPr>
        <w:t>VAT</w:t>
      </w:r>
      <w:r w:rsidRPr="00A67127">
        <w:rPr>
          <w:rFonts w:cs="Arial"/>
        </w:rPr>
        <w:t>.</w:t>
      </w:r>
      <w:r>
        <w:rPr>
          <w:rStyle w:val="Odwoanieprzypisudolnego"/>
          <w:rFonts w:cs="Arial"/>
        </w:rPr>
        <w:footnoteReference w:id="3"/>
      </w:r>
      <w:r w:rsidRPr="00A67127">
        <w:rPr>
          <w:rFonts w:cs="Arial"/>
        </w:rPr>
        <w:t xml:space="preserve"> </w:t>
      </w:r>
    </w:p>
    <w:p w:rsidR="00E21D3A" w:rsidRPr="00A67127" w:rsidRDefault="00E21D3A" w:rsidP="00E21D3A">
      <w:pPr>
        <w:spacing w:after="120" w:line="360" w:lineRule="auto"/>
        <w:jc w:val="both"/>
        <w:rPr>
          <w:rFonts w:cs="Arial"/>
        </w:rPr>
      </w:pPr>
      <w:r w:rsidRPr="00A67127">
        <w:rPr>
          <w:rFonts w:cs="Arial"/>
        </w:rPr>
        <w:t xml:space="preserve">Szczegółową kontrolą objęto następujące zagadnienia: </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Organizacja jednostki i wybrane uregu</w:t>
      </w:r>
      <w:r>
        <w:rPr>
          <w:rFonts w:cs="Arial"/>
        </w:rPr>
        <w:t>lowania wewnętrzne: obowiązki i </w:t>
      </w:r>
      <w:r w:rsidRPr="00A67127">
        <w:rPr>
          <w:rFonts w:cs="Arial"/>
        </w:rPr>
        <w:t>odpowiedzialność kierownika jednostki, system zast</w:t>
      </w:r>
      <w:r>
        <w:rPr>
          <w:rFonts w:cs="Arial"/>
        </w:rPr>
        <w:t>ępstw, powierzenie obowiązków i </w:t>
      </w:r>
      <w:r w:rsidRPr="00A67127">
        <w:rPr>
          <w:rFonts w:cs="Arial"/>
        </w:rPr>
        <w:t xml:space="preserve">odpowiedzialności głównemu księgowemu i innym pracownikom jednostki w zakresie gospodarki finansowej ze szczególnym uwzględnieniem zadań wynikających z Psrp </w:t>
      </w:r>
      <w:r>
        <w:rPr>
          <w:rFonts w:cs="Arial"/>
        </w:rPr>
        <w:t>VAT</w:t>
      </w:r>
      <w:r w:rsidRPr="00A67127">
        <w:rPr>
          <w:rFonts w:cs="Arial"/>
        </w:rPr>
        <w:t>.</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Zasady rachunkowości jednostki, </w:t>
      </w:r>
      <w:r w:rsidRPr="00670283">
        <w:rPr>
          <w:rFonts w:cs="Arial"/>
        </w:rPr>
        <w:t xml:space="preserve">w szczególności w zakresie </w:t>
      </w:r>
      <w:r w:rsidRPr="00A67127">
        <w:rPr>
          <w:rFonts w:cs="Arial"/>
        </w:rPr>
        <w:t xml:space="preserve">przyjętych zasad funkcjonowania kont związanych z rozliczaniem podatku od towarów i usług. </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Przestrzeganie wymogów określonych przepisami ustawy o podatku od towarów i usług  odnoszących się do sposobu ustalania prewskaźnika na rok 2022 (w tym ustalenie wysokości dochodów i wydatków budżetowych jednostki za rok 2021 i rok 2022).</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Sprzedaż towarów i usług –</w:t>
      </w:r>
      <w:r>
        <w:rPr>
          <w:rFonts w:cs="Arial"/>
        </w:rPr>
        <w:t xml:space="preserve"> </w:t>
      </w:r>
      <w:r w:rsidRPr="00A67127">
        <w:rPr>
          <w:rFonts w:cs="Arial"/>
        </w:rPr>
        <w:t xml:space="preserve">podatek należny (w tym sprzedaż rejestrowana na kasach fiskalnych) – na przykładzie wybranych losowo miesięcy tj. sierpień, wrzesień październik, listopad, grudzień 2022 r. </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Zakup towarów i usług – podatek naliczony na przykładzie wybranych losowo miesięcy tj. sierpień, wrzesień, październik 2022 r. </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Prowadzenie ewidencji sprzedaży i ewidencji zakupu (sierpień, wrzesień, październik 2022 r.)</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Ewidencja księgowa podatku </w:t>
      </w:r>
      <w:r>
        <w:rPr>
          <w:rFonts w:cs="Arial"/>
        </w:rPr>
        <w:t>VAT</w:t>
      </w:r>
      <w:r w:rsidRPr="00A67127">
        <w:rPr>
          <w:rFonts w:cs="Arial"/>
        </w:rPr>
        <w:t xml:space="preserve"> w tym: </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t xml:space="preserve">podatek należny, </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lastRenderedPageBreak/>
        <w:t>podatek naliczony od nabycia towarów i usług pozostałych do rozliczenia w danym miesiącu,</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t>podatek naliczony od nabycia towarów i usług zali</w:t>
      </w:r>
      <w:r>
        <w:rPr>
          <w:rFonts w:cs="Arial"/>
        </w:rPr>
        <w:t>czanych do środków trwałych  do </w:t>
      </w:r>
      <w:r w:rsidRPr="00A67127">
        <w:rPr>
          <w:rFonts w:cs="Arial"/>
        </w:rPr>
        <w:t>rozliczenia w danym miesiącu,</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t>podatek naliczony do rozliczenia w następnym okresie.</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Korekta podatku </w:t>
      </w:r>
      <w:r>
        <w:rPr>
          <w:rFonts w:cs="Arial"/>
        </w:rPr>
        <w:t>VAT</w:t>
      </w:r>
      <w:r w:rsidRPr="00A67127">
        <w:rPr>
          <w:rFonts w:cs="Arial"/>
        </w:rPr>
        <w:t xml:space="preserve"> naliczonego od nabycia towarów i usług zaliczanych do środków trwałych za rok 2022.</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Roczna korekta podatku </w:t>
      </w:r>
      <w:r>
        <w:rPr>
          <w:rFonts w:cs="Arial"/>
        </w:rPr>
        <w:t>VAT</w:t>
      </w:r>
      <w:r w:rsidRPr="00A67127">
        <w:rPr>
          <w:rFonts w:cs="Arial"/>
        </w:rPr>
        <w:t xml:space="preserve"> naliczonego od nabycia</w:t>
      </w:r>
      <w:r>
        <w:rPr>
          <w:rFonts w:cs="Arial"/>
        </w:rPr>
        <w:t xml:space="preserve"> pozostałych towarów i usług za </w:t>
      </w:r>
      <w:r w:rsidRPr="00A67127">
        <w:rPr>
          <w:rFonts w:cs="Arial"/>
        </w:rPr>
        <w:t>rok 2022.</w:t>
      </w:r>
    </w:p>
    <w:p w:rsidR="00E21D3A" w:rsidRPr="00A67127" w:rsidRDefault="00E21D3A" w:rsidP="00E21D3A">
      <w:pPr>
        <w:pStyle w:val="Akapitzlist"/>
        <w:numPr>
          <w:ilvl w:val="0"/>
          <w:numId w:val="30"/>
        </w:numPr>
        <w:spacing w:after="120" w:line="360" w:lineRule="auto"/>
        <w:jc w:val="both"/>
        <w:rPr>
          <w:rFonts w:cs="Arial"/>
        </w:rPr>
      </w:pPr>
      <w:r w:rsidRPr="00A67127">
        <w:rPr>
          <w:rFonts w:cs="Arial"/>
        </w:rPr>
        <w:t xml:space="preserve">Rozliczenie podatku </w:t>
      </w:r>
      <w:r>
        <w:rPr>
          <w:rFonts w:cs="Arial"/>
        </w:rPr>
        <w:t>VAT</w:t>
      </w:r>
      <w:r w:rsidRPr="00A67127">
        <w:rPr>
          <w:rFonts w:cs="Arial"/>
        </w:rPr>
        <w:t xml:space="preserve"> z Jednostką Centralną:</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t>zgodność danych wykazanych w cząstkowych</w:t>
      </w:r>
      <w:r>
        <w:rPr>
          <w:rFonts w:cs="Arial"/>
        </w:rPr>
        <w:t xml:space="preserve"> informacjach z ewidencją VAT i </w:t>
      </w:r>
      <w:r w:rsidRPr="00A67127">
        <w:rPr>
          <w:rFonts w:cs="Arial"/>
        </w:rPr>
        <w:t>ewidencją księgową,</w:t>
      </w:r>
    </w:p>
    <w:p w:rsidR="00E21D3A" w:rsidRPr="00A67127" w:rsidRDefault="00E21D3A" w:rsidP="00E21D3A">
      <w:pPr>
        <w:pStyle w:val="Akapitzlist"/>
        <w:numPr>
          <w:ilvl w:val="1"/>
          <w:numId w:val="30"/>
        </w:numPr>
        <w:spacing w:after="120" w:line="360" w:lineRule="auto"/>
        <w:ind w:left="851"/>
        <w:jc w:val="both"/>
        <w:rPr>
          <w:rFonts w:cs="Arial"/>
        </w:rPr>
      </w:pPr>
      <w:r w:rsidRPr="00A67127">
        <w:rPr>
          <w:rFonts w:cs="Arial"/>
        </w:rPr>
        <w:t xml:space="preserve">przestrzeganie zasad funkcjonowania konta 225-2-99 służącego do rozliczenia podatku </w:t>
      </w:r>
      <w:r>
        <w:rPr>
          <w:rFonts w:cs="Arial"/>
        </w:rPr>
        <w:t>VAT</w:t>
      </w:r>
      <w:r w:rsidRPr="00A67127">
        <w:rPr>
          <w:rFonts w:cs="Arial"/>
        </w:rPr>
        <w:t xml:space="preserve"> z jednostką centralną.</w:t>
      </w:r>
    </w:p>
    <w:p w:rsidR="00E21D3A" w:rsidRDefault="00E21D3A" w:rsidP="00E21D3A">
      <w:pPr>
        <w:spacing w:after="120" w:line="360" w:lineRule="auto"/>
        <w:jc w:val="both"/>
      </w:pPr>
      <w:r w:rsidRPr="00A67127">
        <w:rPr>
          <w:rFonts w:cs="Arial"/>
        </w:rPr>
        <w:t xml:space="preserve">Ustaleń kontroli dokonano w oparciu o stan faktyczny, analizę zastanej i udostępnionej dokumentacji oraz ustne i pisemne wyjaśnienia pracowników kontrolowanej jednostki. Kontrolą objęto okres od 1 stycznia do 31 grudnia 2022 r., zaś w zakresie sprawdzenia prawidłowości danych przyjętych do wyliczenia prewspółczynnika </w:t>
      </w:r>
      <w:r>
        <w:rPr>
          <w:rFonts w:cs="Arial"/>
        </w:rPr>
        <w:t>wstępnego na rok 2022 – kontrolą</w:t>
      </w:r>
      <w:r w:rsidRPr="00A67127">
        <w:rPr>
          <w:rFonts w:cs="Arial"/>
        </w:rPr>
        <w:t xml:space="preserve"> objęto okres od 1 stycznia do 31 grudnia 2021 r. </w:t>
      </w:r>
      <w:r>
        <w:rPr>
          <w:rFonts w:cs="Arial"/>
        </w:rPr>
        <w:t xml:space="preserve">W toku czynności kontrolnych Zespół kontrolujący odniósł się ponadto do działań jednostki podjętych w badanym roku w wyniku wcześniejszej </w:t>
      </w:r>
      <w:r>
        <w:t xml:space="preserve">kontroli przeprowadzonej przez Biuro Kontroli Urzędu Miasta (Znak sprawy: PKW.1711.1.2022). </w:t>
      </w:r>
    </w:p>
    <w:p w:rsidR="00E21D3A" w:rsidRDefault="00E21D3A" w:rsidP="00E21D3A">
      <w:pPr>
        <w:spacing w:after="120" w:line="360" w:lineRule="auto"/>
        <w:jc w:val="both"/>
        <w:rPr>
          <w:rFonts w:cs="Arial"/>
        </w:rPr>
      </w:pPr>
      <w:r w:rsidRPr="00C84E0C">
        <w:rPr>
          <w:rFonts w:cs="Arial"/>
        </w:rPr>
        <w:t>Kontrola wykazała nieprawidłowości i uc</w:t>
      </w:r>
      <w:r>
        <w:rPr>
          <w:rFonts w:cs="Arial"/>
        </w:rPr>
        <w:t>hybienia,</w:t>
      </w:r>
      <w:r w:rsidRPr="00650FB7">
        <w:rPr>
          <w:rFonts w:cs="Arial"/>
        </w:rPr>
        <w:t xml:space="preserve"> </w:t>
      </w:r>
      <w:r w:rsidRPr="00C84E0C">
        <w:rPr>
          <w:rFonts w:cs="Arial"/>
        </w:rPr>
        <w:t xml:space="preserve">które </w:t>
      </w:r>
      <w:r>
        <w:rPr>
          <w:rFonts w:cs="Arial"/>
        </w:rPr>
        <w:t xml:space="preserve">wynikały z </w:t>
      </w:r>
      <w:r w:rsidRPr="00A67127">
        <w:rPr>
          <w:rFonts w:cs="Arial"/>
        </w:rPr>
        <w:t>nieprzestrzegania obowiązujących przepisów prawa</w:t>
      </w:r>
      <w:r>
        <w:rPr>
          <w:rFonts w:cs="Arial"/>
        </w:rPr>
        <w:t xml:space="preserve"> lub </w:t>
      </w:r>
      <w:r w:rsidRPr="0021168A">
        <w:rPr>
          <w:rFonts w:cs="Arial"/>
        </w:rPr>
        <w:t>ich wadliwej interpretacji</w:t>
      </w:r>
      <w:r>
        <w:rPr>
          <w:rFonts w:cs="Arial"/>
        </w:rPr>
        <w:t xml:space="preserve"> i </w:t>
      </w:r>
      <w:r w:rsidRPr="00650FB7">
        <w:rPr>
          <w:rFonts w:cs="Arial"/>
        </w:rPr>
        <w:t>miały wpływ na rzetelność prowadzonych ewidencji podatkowych</w:t>
      </w:r>
      <w:r>
        <w:rPr>
          <w:rFonts w:cs="Arial"/>
        </w:rPr>
        <w:t xml:space="preserve"> oraz </w:t>
      </w:r>
      <w:r w:rsidRPr="00650FB7">
        <w:rPr>
          <w:rFonts w:cs="Arial"/>
        </w:rPr>
        <w:t>inne nieprawidłowości</w:t>
      </w:r>
      <w:r>
        <w:rPr>
          <w:rFonts w:cs="Arial"/>
        </w:rPr>
        <w:t>,</w:t>
      </w:r>
      <w:r w:rsidRPr="00650FB7">
        <w:rPr>
          <w:rFonts w:cs="Arial"/>
        </w:rPr>
        <w:t xml:space="preserve"> związane przede wszystkim z </w:t>
      </w:r>
      <w:r>
        <w:rPr>
          <w:rFonts w:cs="Arial"/>
        </w:rPr>
        <w:t>prezentacją</w:t>
      </w:r>
      <w:r w:rsidRPr="00650FB7">
        <w:rPr>
          <w:rFonts w:cs="Arial"/>
        </w:rPr>
        <w:t xml:space="preserve"> danych z dokumentów źródłowych </w:t>
      </w:r>
      <w:r>
        <w:rPr>
          <w:rFonts w:cs="Arial"/>
        </w:rPr>
        <w:t xml:space="preserve">w ewidencji księgowej  w sposób mający istotny wpływ na jakość ksiąg, w szczególności ich sprawdzalność i rzetelność. O braku </w:t>
      </w:r>
      <w:r w:rsidRPr="0021168A">
        <w:rPr>
          <w:rFonts w:cs="Arial"/>
        </w:rPr>
        <w:t>dostatecznego nadzoru ze strony kierowni</w:t>
      </w:r>
      <w:r>
        <w:rPr>
          <w:rFonts w:cs="Arial"/>
        </w:rPr>
        <w:t>ka jednostki i słabości mechanizmów kontroli operacji świadczą liczne korekty, zarówno zapisów księgowych, jak i ewidencji VAT oraz składanych informacji cząstkowych.</w:t>
      </w:r>
    </w:p>
    <w:p w:rsidR="00E21D3A" w:rsidRDefault="00E21D3A" w:rsidP="00E21D3A">
      <w:pPr>
        <w:spacing w:after="120" w:line="360" w:lineRule="auto"/>
        <w:jc w:val="both"/>
        <w:rPr>
          <w:rFonts w:cs="Arial"/>
        </w:rPr>
      </w:pPr>
      <w:r w:rsidRPr="00C84E0C">
        <w:rPr>
          <w:rFonts w:cs="Arial"/>
        </w:rPr>
        <w:t>Odnośnie uchybień o charakterze incydentalnym nie formułowano wniosków pokontrolnych. Uwagi odnoszące się do tych zagadnień, a także szczegółowe ustalenia dotyczące badanych obszarów zawarto w treści protokołu kontroli.</w:t>
      </w:r>
      <w:r>
        <w:rPr>
          <w:rFonts w:cs="Arial"/>
        </w:rPr>
        <w:t xml:space="preserve"> </w:t>
      </w:r>
    </w:p>
    <w:p w:rsidR="00E21D3A" w:rsidRDefault="00E21D3A" w:rsidP="00E21D3A">
      <w:pPr>
        <w:pStyle w:val="Nagwek2"/>
      </w:pPr>
      <w:r w:rsidRPr="00CC15A3">
        <w:lastRenderedPageBreak/>
        <w:t xml:space="preserve">W zakresie </w:t>
      </w:r>
      <w:r>
        <w:t>środowiska wewnętrznego jednostki</w:t>
      </w:r>
    </w:p>
    <w:p w:rsidR="00E21D3A" w:rsidRPr="00A67127" w:rsidRDefault="00E21D3A" w:rsidP="00E21D3A">
      <w:pPr>
        <w:pStyle w:val="Akapitzlist"/>
        <w:numPr>
          <w:ilvl w:val="0"/>
          <w:numId w:val="28"/>
        </w:numPr>
        <w:spacing w:line="360" w:lineRule="auto"/>
        <w:ind w:left="426"/>
        <w:jc w:val="both"/>
      </w:pPr>
      <w:r w:rsidRPr="00A67127">
        <w:t xml:space="preserve">Stwierdzono, że w strukturze organizacyjnej jednostki Dyrektor </w:t>
      </w:r>
      <w:r>
        <w:t>OSiR</w:t>
      </w:r>
      <w:r w:rsidRPr="00A67127">
        <w:t xml:space="preserve"> określił stanowisko kierownika działu księgowości</w:t>
      </w:r>
      <w:r>
        <w:rPr>
          <w:rStyle w:val="Odwoanieprzypisudolnego"/>
        </w:rPr>
        <w:footnoteReference w:id="4"/>
      </w:r>
      <w:r w:rsidRPr="00A67127">
        <w:t xml:space="preserve"> i wyznaczył </w:t>
      </w:r>
      <w:r>
        <w:t xml:space="preserve">go </w:t>
      </w:r>
      <w:r w:rsidRPr="00A67127">
        <w:t>do zastępowania głównego księgowego podczas jego nieobecności w pracy</w:t>
      </w:r>
      <w:r>
        <w:t>,</w:t>
      </w:r>
      <w:r w:rsidRPr="00A67127">
        <w:t xml:space="preserve"> podczas gdy w 2022 r. jednostka nie zatrudniała pracownika na stanowisk</w:t>
      </w:r>
      <w:r>
        <w:t>u kierownika działu księgowości. S</w:t>
      </w:r>
      <w:r w:rsidRPr="00A67127">
        <w:t>chemat organizacyjny przedstawiający strukturę organizacyjną wskazywał, że dział księgowości podlega be</w:t>
      </w:r>
      <w:r>
        <w:t>zpośrednio kierownikowi jednostki. S</w:t>
      </w:r>
      <w:r w:rsidRPr="00A67127">
        <w:t>tanowisko głównego księgowego nie zostało w strukturze określone.</w:t>
      </w:r>
    </w:p>
    <w:p w:rsidR="00E21D3A" w:rsidRDefault="00E21D3A" w:rsidP="00E21D3A">
      <w:pPr>
        <w:pStyle w:val="Akapitzlist"/>
        <w:numPr>
          <w:ilvl w:val="0"/>
          <w:numId w:val="28"/>
        </w:numPr>
        <w:spacing w:line="360" w:lineRule="auto"/>
        <w:ind w:left="426"/>
        <w:jc w:val="both"/>
        <w:rPr>
          <w:i/>
        </w:rPr>
      </w:pPr>
      <w:r w:rsidRPr="00A67127">
        <w:t>Z przyjętych w § 14 ust.</w:t>
      </w:r>
      <w:r>
        <w:t xml:space="preserve"> </w:t>
      </w:r>
      <w:r w:rsidRPr="00A67127">
        <w:t>2 regulaminu organizacyjnego zasad podpisywania pism i</w:t>
      </w:r>
      <w:r>
        <w:t> </w:t>
      </w:r>
      <w:r w:rsidRPr="00A67127">
        <w:t xml:space="preserve">decyzji wynikało, że cyt.: </w:t>
      </w:r>
      <w:r w:rsidRPr="00A67127">
        <w:rPr>
          <w:i/>
        </w:rPr>
        <w:t>umowy, dokumenty obrotu pieniężnego, jak również dokumenty o charakterze rozliczeniowym, stan</w:t>
      </w:r>
      <w:r>
        <w:rPr>
          <w:i/>
        </w:rPr>
        <w:t>owiące podstawę do otrzymania i </w:t>
      </w:r>
      <w:r w:rsidRPr="00A67127">
        <w:rPr>
          <w:i/>
        </w:rPr>
        <w:t>wydawania środków pieniężnych podpisuje dyrektor lub osoba przez niego upoważniona działająca łącznie z głównym księgowym.</w:t>
      </w:r>
    </w:p>
    <w:p w:rsidR="00E21D3A" w:rsidRPr="00845766" w:rsidRDefault="00E21D3A" w:rsidP="00E21D3A">
      <w:pPr>
        <w:pStyle w:val="Akapitzlist"/>
        <w:spacing w:line="360" w:lineRule="auto"/>
        <w:ind w:left="426"/>
        <w:jc w:val="both"/>
      </w:pPr>
      <w:r w:rsidRPr="00845766">
        <w:t>Tak sformułowany zapis wskazuje głównego księgowego jako dysponenta środków pieniężnych, co jest niezgodne z obowiązującą przy wykonaniu budżetu zasadą rozdzielenia dysponowania środkami publicznymi od kasowego wykonania dyspozycji. Zgodnie z art. 53 ust. 1 ustawy z dnia 27 sierpnia 200</w:t>
      </w:r>
      <w:r>
        <w:t>9 r. o finansach publicznych</w:t>
      </w:r>
      <w:r>
        <w:rPr>
          <w:rStyle w:val="Odwoanieprzypisudolnego"/>
        </w:rPr>
        <w:footnoteReference w:id="5"/>
      </w:r>
      <w:r>
        <w:t xml:space="preserve"> za </w:t>
      </w:r>
      <w:r w:rsidRPr="00845766">
        <w:t>całość gospodarki finansowej odpowiada kierownik jednostki sektora finansów publicznych, który w imieniu jednostki ma kompet</w:t>
      </w:r>
      <w:r>
        <w:t>encje do podejmowania decyzji o </w:t>
      </w:r>
      <w:r w:rsidRPr="00845766">
        <w:t>wydatkowaniu środków publicznych na określony cel i w określonej wysokości.</w:t>
      </w:r>
    </w:p>
    <w:p w:rsidR="00E21D3A" w:rsidRPr="00845766" w:rsidRDefault="00E21D3A" w:rsidP="00E21D3A">
      <w:pPr>
        <w:pStyle w:val="Akapitzlist"/>
        <w:spacing w:line="360" w:lineRule="auto"/>
        <w:ind w:left="426"/>
        <w:jc w:val="both"/>
      </w:pPr>
      <w:r w:rsidRPr="00845766">
        <w:t>Na podstawie art. 53 ust. 2 ustawy o finansach publicznych, kierownik może upoważnić innego pracownika jednostki do wykonywania w jego imieniu określonych obowiązków w zakresie gospodarki finansowej, w tym również dysponowania środkami pieniężnymi, jednakże pracownikiem tym nie może być główny księgowy, gdyż do jego obowiązków należy, stosownie do art. 54 ust. 1 pkt 2 ustawy o finansach publicznych, wykonywanie dyspozycji kierownika jednostki, czyli realizacja związanych z tym czynności technicznych (dokonywanie płatności gotówką lub rozliczeń w formie bezgotówkowej), a nie dysponowanie środkami</w:t>
      </w:r>
      <w:r>
        <w:t>.</w:t>
      </w:r>
    </w:p>
    <w:p w:rsidR="00E21D3A" w:rsidRPr="00A67127" w:rsidRDefault="00E21D3A" w:rsidP="00E21D3A">
      <w:pPr>
        <w:pStyle w:val="Akapitzlist"/>
        <w:numPr>
          <w:ilvl w:val="0"/>
          <w:numId w:val="28"/>
        </w:numPr>
        <w:spacing w:line="360" w:lineRule="auto"/>
        <w:ind w:left="426"/>
        <w:jc w:val="both"/>
      </w:pPr>
      <w:r w:rsidRPr="00A67127">
        <w:t xml:space="preserve">Na podstawie pełnomocnictwa z dnia 26 sierpnia 2022 r. ustalono, że Dyrektor </w:t>
      </w:r>
      <w:r>
        <w:t>OSiR</w:t>
      </w:r>
      <w:r w:rsidRPr="00A67127">
        <w:t xml:space="preserve"> przekazał pracownikowi zatrudnionemu na stanowisku kierownika Zespołu Krytych </w:t>
      </w:r>
      <w:r w:rsidRPr="00A67127">
        <w:lastRenderedPageBreak/>
        <w:t xml:space="preserve">Pływalni kompetencje we wszystkich aspektach działalności </w:t>
      </w:r>
      <w:r>
        <w:t>jednostki</w:t>
      </w:r>
      <w:r w:rsidRPr="00A67127">
        <w:t xml:space="preserve"> w każdym czasie, bez ograniczeń, w sytuacji gdy na podstawie § 5 ust. 3 </w:t>
      </w:r>
      <w:r>
        <w:t>R</w:t>
      </w:r>
      <w:r w:rsidRPr="00A67127">
        <w:t xml:space="preserve">egulaminu organizacyjnego, kierownik Zespołu Krytych Pływalni wyznaczony został przez Dyrektora </w:t>
      </w:r>
      <w:r>
        <w:t>OSiR do </w:t>
      </w:r>
      <w:r w:rsidRPr="00A67127">
        <w:t xml:space="preserve">wykonywania obowiązków dyrektora tylko podczas jego nieobecności. </w:t>
      </w:r>
      <w:r>
        <w:t xml:space="preserve">Brak wskazania w pełnomocnictwie, że powierzenie </w:t>
      </w:r>
      <w:r w:rsidRPr="009708C8">
        <w:t xml:space="preserve">obowiązków pracownikowi </w:t>
      </w:r>
      <w:r>
        <w:t>dotyczy przypadków</w:t>
      </w:r>
      <w:r w:rsidRPr="009708C8">
        <w:t xml:space="preserve"> nieobecności kierownika</w:t>
      </w:r>
      <w:r w:rsidRPr="00853DA6">
        <w:t xml:space="preserve"> </w:t>
      </w:r>
      <w:r w:rsidRPr="009708C8">
        <w:t>jednostki</w:t>
      </w:r>
      <w:r>
        <w:t>, a także brak określenia okresu  obowiązywania upoważnienia</w:t>
      </w:r>
      <w:r w:rsidRPr="009708C8">
        <w:t xml:space="preserve"> narusza standardy kontroli zarządczej w zakresie precyzyjnego określania zakresu delegowanych uprawnień (standard nr 4) oraz zapewnienia podziału kluczowych obowiązków w ramach mechanizmów kontroli dotyczących operacji finansowych i gospodarczych (standard nr 14). Nieprecyzyjne określenie delegowanych zadań, tj. bez wskazania okoliczności, w których pracownik zobowiązany jest do wykonywania powierzonych zadań, może powodować wątpliwość co do ustalenia osoby odpowiedzialnej za te zadania.</w:t>
      </w:r>
      <w:r>
        <w:t xml:space="preserve"> </w:t>
      </w:r>
      <w:r w:rsidRPr="00A67127">
        <w:t>Wątpliwości budzi również możliwość wskazywania w podstawie prawnej pełnomocnictwa art. 47 ust.</w:t>
      </w:r>
      <w:r>
        <w:t xml:space="preserve"> 1 ustawy o </w:t>
      </w:r>
      <w:r w:rsidRPr="00A67127">
        <w:t xml:space="preserve">samorządzie gminnym. Z ustawowego brzmienia </w:t>
      </w:r>
      <w:r>
        <w:t>tego przepisu, stanowiącego, że </w:t>
      </w:r>
      <w:r w:rsidRPr="00A67127">
        <w:t xml:space="preserve">kierownicy jednostek organizacyjnych gminy nieposiadających osobowości prawnej działają jednoosobowo na podstawie pełnomocnictwa udzielonego przez wójta, nie sposób wywieść uprawnienie kierownika jednostki organizacyjnej Miasta do udzielenia pracownikowi jednostki pełnomocnictwa na ww. podstawie prawnej. </w:t>
      </w:r>
      <w:r w:rsidRPr="001D1DBE">
        <w:t>Podstawą powierzenia obowiązków pełnionych w zastępstwie za Dyrektora winno być pełnomocnictwo nr 393 z dnia 31 grudnia 2015 r. i pełnomocnictwo nr 612 z dnia 28.06.2019 r.</w:t>
      </w:r>
      <w:r>
        <w:t xml:space="preserve"> </w:t>
      </w:r>
      <w:r w:rsidRPr="001D1DBE">
        <w:t>udzielone Dyrektorowi przez P</w:t>
      </w:r>
      <w:r>
        <w:t>rezydenta Miasta, na mocy których</w:t>
      </w:r>
      <w:r w:rsidRPr="001D1DBE">
        <w:t xml:space="preserve"> może on udzielać dalszych pełnomocnictw pracownikom </w:t>
      </w:r>
      <w:r>
        <w:t>OSiR</w:t>
      </w:r>
      <w:r w:rsidRPr="001D1DBE">
        <w:t>. Podstawę powierzenia obowiązków i odpowiedzialności w zakresie gospodarki finansowej stanowi zaś art. 53 ust. 2 ustawy z dnia 27 sierpnia 2009 r. o finansach publicznych, zgodnie z którym kierownik jednostki sektora finansów publicznych może powierzyć określone obowiązki w zakresie gospodarki finansowej pracownikom jednostki.</w:t>
      </w:r>
    </w:p>
    <w:p w:rsidR="00E21D3A" w:rsidRPr="00A67127" w:rsidRDefault="00E21D3A" w:rsidP="00E21D3A">
      <w:pPr>
        <w:pStyle w:val="Akapitzlist"/>
        <w:numPr>
          <w:ilvl w:val="0"/>
          <w:numId w:val="28"/>
        </w:numPr>
        <w:spacing w:line="360" w:lineRule="auto"/>
        <w:ind w:left="426"/>
        <w:jc w:val="both"/>
      </w:pPr>
      <w:r w:rsidRPr="00A67127">
        <w:t>Analiza obowiązujących w jednostce zasad (polityki) rachunk</w:t>
      </w:r>
      <w:r>
        <w:t>owości</w:t>
      </w:r>
      <w:r>
        <w:rPr>
          <w:rStyle w:val="Odwoanieprzypisudolnego"/>
        </w:rPr>
        <w:footnoteReference w:id="6"/>
      </w:r>
      <w:r>
        <w:t xml:space="preserve"> wykazała, że </w:t>
      </w:r>
      <w:r w:rsidRPr="00A67127">
        <w:t>dokument ten nie określał zasad wymaganych art</w:t>
      </w:r>
      <w:r>
        <w:t>. 10 ust.1 pkt 3 lit. c ustawy z dnia 29 września 1994 r. o </w:t>
      </w:r>
      <w:r w:rsidRPr="00A67127">
        <w:t>rachunkowości</w:t>
      </w:r>
      <w:r>
        <w:rPr>
          <w:rStyle w:val="Odwoanieprzypisudolnego"/>
        </w:rPr>
        <w:footnoteReference w:id="7"/>
      </w:r>
      <w:r w:rsidRPr="00A67127">
        <w:t xml:space="preserve"> tj. opisu systemu informatycznego, </w:t>
      </w:r>
      <w:r w:rsidRPr="00A67127">
        <w:lastRenderedPageBreak/>
        <w:t>zawierającego wykaz programów, procedur lub funkcji, w zależności od struktury oprogramowania, wraz z opisem algorytmów i parametrów oraz programowyc</w:t>
      </w:r>
      <w:r>
        <w:t>h zasad ochrony danych, w tym w </w:t>
      </w:r>
      <w:r w:rsidRPr="00A67127">
        <w:t>szczególności metod zab</w:t>
      </w:r>
      <w:r>
        <w:t>ezpieczenia dostępu do danych i </w:t>
      </w:r>
      <w:r w:rsidRPr="00A67127">
        <w:t>systemu ich prz</w:t>
      </w:r>
      <w:r>
        <w:t>etwarzania, a ponadto określenia</w:t>
      </w:r>
      <w:r w:rsidRPr="00A67127">
        <w:t xml:space="preserve"> wersji oprogramowania i daty rozpoczęcia jego eksploatacji.</w:t>
      </w:r>
    </w:p>
    <w:p w:rsidR="00E21D3A" w:rsidRPr="00A67127" w:rsidRDefault="00E21D3A" w:rsidP="00E21D3A">
      <w:pPr>
        <w:pStyle w:val="Akapitzlist"/>
        <w:spacing w:line="360" w:lineRule="auto"/>
        <w:ind w:left="426"/>
        <w:jc w:val="both"/>
      </w:pPr>
      <w:r w:rsidRPr="00A67127">
        <w:t>W okresie od 01.01.2022</w:t>
      </w:r>
      <w:r>
        <w:t xml:space="preserve"> r.</w:t>
      </w:r>
      <w:r w:rsidRPr="00A67127">
        <w:t xml:space="preserve"> do 06.11.2023 r. do obsługi finansowo-księgowej jednostka wykorzystywała moduł Symfonia ERP Finanse – Księgowość z wbudowanymi mechanizmami tworzenia i wysyłania e-deklaracji PIT, </w:t>
      </w:r>
      <w:r>
        <w:t>VAT</w:t>
      </w:r>
      <w:r w:rsidRPr="00A67127">
        <w:t>, CIT, JPK. Na podstawie wydruków z programu finansowo</w:t>
      </w:r>
      <w:r>
        <w:t>-</w:t>
      </w:r>
      <w:r w:rsidRPr="00A67127">
        <w:t>księgowego Symfonia ERP Finanse – Księgowość ustalono, że wersje oprogramowania na wydrukach nie były zgodne z wersjami odnotowanymi w prowadzonym w jednostce Dzienniku aktualizacji wersji oprogramowania.</w:t>
      </w:r>
    </w:p>
    <w:p w:rsidR="00E21D3A" w:rsidRPr="00A67127" w:rsidRDefault="00E21D3A" w:rsidP="00E21D3A">
      <w:pPr>
        <w:pStyle w:val="Akapitzlist"/>
        <w:spacing w:line="360" w:lineRule="auto"/>
        <w:ind w:left="426"/>
        <w:jc w:val="both"/>
      </w:pPr>
      <w:r w:rsidRPr="00A67127">
        <w:t xml:space="preserve">Zgodnie z </w:t>
      </w:r>
      <w:r>
        <w:t xml:space="preserve">art. 10 ust. 2 </w:t>
      </w:r>
      <w:r w:rsidRPr="00A67127">
        <w:t xml:space="preserve">ustawy </w:t>
      </w:r>
      <w:r>
        <w:t xml:space="preserve">o rachunkowości </w:t>
      </w:r>
      <w:r w:rsidRPr="00A67127">
        <w:t>dokumen</w:t>
      </w:r>
      <w:r>
        <w:t>tację</w:t>
      </w:r>
      <w:r w:rsidRPr="00A67127">
        <w:t xml:space="preserve"> systemu rachunkowości ustala w formie pisemnej i aktualizuje kierownik jednostki.</w:t>
      </w:r>
    </w:p>
    <w:p w:rsidR="00E21D3A" w:rsidRPr="00A67127" w:rsidRDefault="00E21D3A" w:rsidP="00E21D3A">
      <w:pPr>
        <w:pStyle w:val="Akapitzlist"/>
        <w:numPr>
          <w:ilvl w:val="0"/>
          <w:numId w:val="28"/>
        </w:numPr>
        <w:spacing w:line="360" w:lineRule="auto"/>
        <w:ind w:left="426"/>
        <w:jc w:val="both"/>
      </w:pPr>
      <w:r w:rsidRPr="00A67127">
        <w:t>W polityce rachun</w:t>
      </w:r>
      <w:r>
        <w:t xml:space="preserve">kowości jednostka przyjęła, że </w:t>
      </w:r>
      <w:r w:rsidRPr="00845766">
        <w:rPr>
          <w:i/>
        </w:rPr>
        <w:t>kompletne księgi rachunkowe drukowane są nie później niż na koniec roku obrotowego. Za równoważne z wydrukiem Ośrodek uznaje przeniesienie treści ksiąg rachunkowych na inny komputerowy nośnik danych zapewniający trwałość zapisu informacji, przez okres nie krótszy niż 5 lat</w:t>
      </w:r>
      <w:r w:rsidRPr="00A67127">
        <w:t>.</w:t>
      </w:r>
    </w:p>
    <w:p w:rsidR="00E21D3A" w:rsidRPr="00A67127" w:rsidRDefault="00E21D3A" w:rsidP="00E21D3A">
      <w:pPr>
        <w:pStyle w:val="Akapitzlist"/>
        <w:spacing w:line="360" w:lineRule="auto"/>
        <w:ind w:left="426"/>
        <w:jc w:val="both"/>
      </w:pPr>
      <w:r>
        <w:t>B</w:t>
      </w:r>
      <w:r w:rsidRPr="00A67127">
        <w:t>rak wskazania w polityce rachunkowości sposobu przechowywania k</w:t>
      </w:r>
      <w:r>
        <w:t>siąg rachunkowych jest niezgodny</w:t>
      </w:r>
      <w:r w:rsidRPr="00A67127">
        <w:t xml:space="preserve"> z przepisem art. 3 ust. 1 pkt 11 ustaw</w:t>
      </w:r>
      <w:r>
        <w:t>y o </w:t>
      </w:r>
      <w:r w:rsidRPr="00A67127">
        <w:t xml:space="preserve">rachunkowości, który stanowi: „przyjętych zasadach (polityce) rachunkowości </w:t>
      </w:r>
      <w:r>
        <w:t>– rozumie się przez to </w:t>
      </w:r>
      <w:r w:rsidRPr="00A67127">
        <w:t>wybrane i stosowane przez jednostkę rozwiązania dopuszczone ustawą, w tym także określone w MSR, zapewniające wymaganą jak</w:t>
      </w:r>
      <w:r>
        <w:t>ość sprawozdań finansowych”, co </w:t>
      </w:r>
      <w:r w:rsidRPr="00A67127">
        <w:t>jednoznacznie wskazuje, że w przypadku różn</w:t>
      </w:r>
      <w:r>
        <w:t>ych możliwości przewidzianych w </w:t>
      </w:r>
      <w:r w:rsidRPr="00A67127">
        <w:t>ustawie, kierownik jednostki doko</w:t>
      </w:r>
      <w:r>
        <w:t>nuje wyboru stosowanych zasad i zapisuje je w </w:t>
      </w:r>
      <w:r w:rsidRPr="00A67127">
        <w:t>polityce rachunkowości, a jednostka zobowiązana jest do ich stosowania. Jest również niezgodne z prze</w:t>
      </w:r>
      <w:r>
        <w:t>pisem art. 13 tej</w:t>
      </w:r>
      <w:r w:rsidRPr="00A67127">
        <w:t xml:space="preserve"> ustawy, w którym wymienione są księgi rachunkowe oraz warunki ich prowadzenia.</w:t>
      </w:r>
    </w:p>
    <w:p w:rsidR="00E21D3A" w:rsidRPr="00A67127" w:rsidRDefault="00E21D3A" w:rsidP="00E21D3A">
      <w:pPr>
        <w:pStyle w:val="Akapitzlist"/>
        <w:numPr>
          <w:ilvl w:val="0"/>
          <w:numId w:val="28"/>
        </w:numPr>
        <w:spacing w:line="360" w:lineRule="auto"/>
        <w:ind w:left="426"/>
        <w:jc w:val="both"/>
      </w:pPr>
      <w:r w:rsidRPr="00A67127">
        <w:t>Zakładowy plan kont nie został w pełni dostosowan</w:t>
      </w:r>
      <w:r>
        <w:t>y do wymogów załącznika nr 3 do </w:t>
      </w:r>
      <w:r w:rsidRPr="00A67127">
        <w:t xml:space="preserve">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Pr="00E2239B">
        <w:t xml:space="preserve">(t.j. Dz. U. z 2020 r. poz. 342) </w:t>
      </w:r>
      <w:r>
        <w:t>i </w:t>
      </w:r>
      <w:r w:rsidRPr="00A67127">
        <w:t>za</w:t>
      </w:r>
      <w:r>
        <w:t>łącznika nr 2 do zarządzenia Nr </w:t>
      </w:r>
      <w:r w:rsidRPr="00A67127">
        <w:t>378 P</w:t>
      </w:r>
      <w:r>
        <w:t>rezydenta Miasta Piotrkowa Trybunalskiego z </w:t>
      </w:r>
      <w:r w:rsidRPr="00A67127">
        <w:t xml:space="preserve">dnia 15.12.2020 r. w sprawie zasad centralizacji rozliczeń podatku od towarów i usług </w:t>
      </w:r>
      <w:r>
        <w:t>VAT</w:t>
      </w:r>
      <w:r w:rsidRPr="00A67127">
        <w:t xml:space="preserve"> obowiązujących w Mieście Piotrków Trybunalski (załącznik nr 2 do zarządzenia stanowią Procedur</w:t>
      </w:r>
      <w:r>
        <w:t>y</w:t>
      </w:r>
      <w:r w:rsidRPr="00A67127">
        <w:t xml:space="preserve"> scentralizowanego rozliczania podatku </w:t>
      </w:r>
      <w:r>
        <w:t>VAT</w:t>
      </w:r>
      <w:r w:rsidRPr="00A67127">
        <w:t xml:space="preserve"> w Mieście Piotrkowie Trybunalskim)</w:t>
      </w:r>
      <w:r>
        <w:t>,</w:t>
      </w:r>
      <w:r w:rsidRPr="00A67127">
        <w:t xml:space="preserve"> w</w:t>
      </w:r>
      <w:r>
        <w:t> </w:t>
      </w:r>
      <w:r w:rsidRPr="00A67127">
        <w:t>szczególności w zakresie:</w:t>
      </w:r>
    </w:p>
    <w:p w:rsidR="00E21D3A" w:rsidRDefault="00E21D3A" w:rsidP="00E21D3A">
      <w:pPr>
        <w:pStyle w:val="Akapitzlist"/>
        <w:numPr>
          <w:ilvl w:val="0"/>
          <w:numId w:val="31"/>
        </w:numPr>
        <w:spacing w:line="360" w:lineRule="auto"/>
        <w:jc w:val="both"/>
      </w:pPr>
      <w:r w:rsidRPr="00A67127">
        <w:t>ustalenia techniki księgowania (§ 21</w:t>
      </w:r>
      <w:r>
        <w:t xml:space="preserve"> rozporządzenia</w:t>
      </w:r>
      <w:r w:rsidRPr="00A67127">
        <w:t xml:space="preserve">) </w:t>
      </w:r>
      <w:r w:rsidRPr="00DA4835">
        <w:t>zapewniania</w:t>
      </w:r>
      <w:r>
        <w:t>jącej możliwość</w:t>
      </w:r>
      <w:r w:rsidRPr="00DA4835">
        <w:t xml:space="preserve"> sporządzenia sprawozdań finansowych, sprawozdań budżetowych lub innych sprawozdań okr</w:t>
      </w:r>
      <w:r>
        <w:t>eślonych w odrębnych przepisach –</w:t>
      </w:r>
      <w:r w:rsidRPr="00A67127">
        <w:t xml:space="preserve"> jeżeli przepisy dotyczące sprawozdań nakładają obowiązek wykazywa</w:t>
      </w:r>
      <w:r>
        <w:t>nia w sprawozdaniach obrotów na </w:t>
      </w:r>
      <w:r w:rsidRPr="00A67127">
        <w:t>określonych kontach, wówczas stosowana technika księgowości powinna umożliwić prawidłowe ustalenie wysokości tych obrotów (np.</w:t>
      </w:r>
      <w:r>
        <w:t xml:space="preserve"> </w:t>
      </w:r>
      <w:r w:rsidRPr="00A67127">
        <w:t>konto 130 –</w:t>
      </w:r>
      <w:r>
        <w:t xml:space="preserve"> rachunek bieżący jednostki – </w:t>
      </w:r>
      <w:r w:rsidRPr="00A67127">
        <w:t>dane do sprawozdań Rb-27S, Rb-28S, Rb-27ZZ</w:t>
      </w:r>
      <w:r>
        <w:t xml:space="preserve">, </w:t>
      </w:r>
      <w:r w:rsidRPr="00A67127">
        <w:t xml:space="preserve">konto 225-2 Rozrachunki z tytułu </w:t>
      </w:r>
      <w:r>
        <w:t>VAT – dane do deklaracji VAT</w:t>
      </w:r>
      <w:r w:rsidRPr="00A67127">
        <w:t>),</w:t>
      </w:r>
    </w:p>
    <w:p w:rsidR="00E21D3A" w:rsidRDefault="00E21D3A" w:rsidP="00E21D3A">
      <w:pPr>
        <w:pStyle w:val="Akapitzlist"/>
        <w:numPr>
          <w:ilvl w:val="0"/>
          <w:numId w:val="31"/>
        </w:numPr>
        <w:spacing w:line="360" w:lineRule="auto"/>
        <w:jc w:val="both"/>
      </w:pPr>
      <w:r w:rsidRPr="00A67127">
        <w:t xml:space="preserve">uwzględnienia ustaleń jednostki nadrzędnej dotyczących zasad funkcjonowania kont związanych z rozliczeniem podatku </w:t>
      </w:r>
      <w:r>
        <w:t>VAT,</w:t>
      </w:r>
    </w:p>
    <w:p w:rsidR="00E21D3A" w:rsidRPr="00A67127" w:rsidRDefault="00E21D3A" w:rsidP="00E21D3A">
      <w:pPr>
        <w:pStyle w:val="Akapitzlist"/>
        <w:numPr>
          <w:ilvl w:val="0"/>
          <w:numId w:val="28"/>
        </w:numPr>
        <w:spacing w:line="360" w:lineRule="auto"/>
        <w:ind w:left="426"/>
        <w:jc w:val="both"/>
      </w:pPr>
      <w:r>
        <w:t>Kontrola wykazała, że jednostka w roku</w:t>
      </w:r>
      <w:r w:rsidRPr="00A67127">
        <w:t xml:space="preserve"> 2021 i 2022 </w:t>
      </w:r>
      <w:r>
        <w:t>e</w:t>
      </w:r>
      <w:r w:rsidRPr="00A67127">
        <w:t>widencjonowa</w:t>
      </w:r>
      <w:r>
        <w:t>ła</w:t>
      </w:r>
      <w:r w:rsidRPr="00A67127">
        <w:t xml:space="preserve"> </w:t>
      </w:r>
      <w:r>
        <w:t>operacje</w:t>
      </w:r>
      <w:r w:rsidRPr="00A67127">
        <w:t xml:space="preserve"> gospodarcz</w:t>
      </w:r>
      <w:r>
        <w:t>e</w:t>
      </w:r>
      <w:r w:rsidRPr="00A67127">
        <w:t xml:space="preserve"> na kontach księgowych nieprzewidzianych w zakładowym planie kont jednostki (konto 241</w:t>
      </w:r>
      <w:r>
        <w:t xml:space="preserve"> –</w:t>
      </w:r>
      <w:r w:rsidRPr="00A67127">
        <w:t xml:space="preserve"> Techniczne bilansowe).</w:t>
      </w:r>
    </w:p>
    <w:p w:rsidR="00E21D3A" w:rsidRPr="00A67127" w:rsidRDefault="00E21D3A" w:rsidP="00E21D3A">
      <w:pPr>
        <w:pStyle w:val="Akapitzlist"/>
        <w:numPr>
          <w:ilvl w:val="0"/>
          <w:numId w:val="28"/>
        </w:numPr>
        <w:spacing w:line="360" w:lineRule="auto"/>
        <w:ind w:left="426"/>
        <w:jc w:val="both"/>
      </w:pPr>
      <w:r w:rsidRPr="00A67127">
        <w:t>Instrukcja obiegu i kontroli dokumentów finansowo</w:t>
      </w:r>
      <w:r>
        <w:t>-</w:t>
      </w:r>
      <w:r w:rsidRPr="00A67127">
        <w:t>księgowych</w:t>
      </w:r>
      <w:r>
        <w:t>,</w:t>
      </w:r>
      <w:r w:rsidRPr="00A67127">
        <w:t xml:space="preserve"> wprowadzona zarządzeniem nr 16/2017 Dyrektora </w:t>
      </w:r>
      <w:r>
        <w:t>OSiR</w:t>
      </w:r>
      <w:r w:rsidRPr="00A67127">
        <w:t xml:space="preserve"> z dnia 29.05</w:t>
      </w:r>
      <w:r>
        <w:t>.2017 r. nie była dostosowana w </w:t>
      </w:r>
      <w:r w:rsidRPr="00A67127">
        <w:t xml:space="preserve">pełni </w:t>
      </w:r>
      <w:r>
        <w:t>do aktualnych potrzeb jednostki</w:t>
      </w:r>
      <w:r w:rsidRPr="00A67127">
        <w:t>.</w:t>
      </w:r>
      <w:r>
        <w:t xml:space="preserve"> </w:t>
      </w:r>
      <w:r w:rsidRPr="00A67127">
        <w:t>Kontrola wykazała, że w 2</w:t>
      </w:r>
      <w:r>
        <w:t xml:space="preserve">022 r. jednostka </w:t>
      </w:r>
      <w:r w:rsidRPr="00A67127">
        <w:t>stosowała wewnętrzne dowody księgowe (w tym dowody korygujące poprzednie zapisy), których stosowanie i obieg nie z</w:t>
      </w:r>
      <w:r>
        <w:t>ostały w instrukcji uregulowane,</w:t>
      </w:r>
    </w:p>
    <w:p w:rsidR="00E21D3A" w:rsidRDefault="00E21D3A" w:rsidP="00E21D3A">
      <w:pPr>
        <w:pStyle w:val="Nagwek2"/>
      </w:pPr>
      <w:r w:rsidRPr="00B7687C">
        <w:t>W zakresie sposobu określenia prewspółc</w:t>
      </w:r>
      <w:r>
        <w:t>zynnika na rok 2022 wstępnego i </w:t>
      </w:r>
      <w:r w:rsidRPr="00B7687C">
        <w:t>ostatecznego, w tym ustalenie wysokości dochodów i wydatków budżetowych jednostki za rok 2021 i rok 2022</w:t>
      </w:r>
    </w:p>
    <w:p w:rsidR="00E21D3A" w:rsidRDefault="00E21D3A" w:rsidP="00E21D3A">
      <w:pPr>
        <w:pStyle w:val="Akapitzlist"/>
        <w:numPr>
          <w:ilvl w:val="0"/>
          <w:numId w:val="32"/>
        </w:numPr>
        <w:spacing w:line="360" w:lineRule="auto"/>
        <w:ind w:left="426"/>
        <w:jc w:val="both"/>
      </w:pPr>
      <w:r>
        <w:t xml:space="preserve">Do ustalenia prewspółczynnika wstępnego jednostka pomniejszyła kwotę dochodów wykonanych o kwotę 1.254,40 zł w związku ze sprzedażą złomu pochodzącego z likwidacji środka trwałego – walec wibracyjny – faktura OSIR/02/18/2021 z dnia 17.05.2021 r. na kwotę 1.019,84 zł netto + 234,56 zł (23 %VAT) = 1.254,40 zł brutto, co było niezgodne z rozporządzeniem Ministra Finansów z dnia 17 grudnia 2015 r. w sprawie sposobu określania zakresu wykorzystywania nabywanych towarów i usług do celów działalności gospodarczej w przypadku niektórych podatników (t.j. Dz. U. z 2021 r. poz. 999). W myśl § 2 pkt 4 i 10 tego rozporządzenia przez obrót należy rozumieć podstawę opodatkowania, o której mowa w art. 29a, art. 32 art. 119 oraz art. 120 ust. 4 i 5 ustawy o VAT w zakresie m.in. </w:t>
      </w:r>
      <w:r w:rsidRPr="008E259D">
        <w:t>dokonywanych przez podatników</w:t>
      </w:r>
      <w:r>
        <w:t xml:space="preserve"> odpłatnych dostaw towarów oraz odpłatnego świadczenia usług na terytorium kraju, zaś dochody wykonane jednostki budżetowej to dochody obejmujące dochody publiczne w rozumieniu ustawy o finansach publicznych, z wyjątkiem dochodów, o których mowa w art. 5 ust. 2 pkt 4 lit. b-d i pkt 5 ustawy o finansach publicznych, środki pochodzące z budżetu Unii Europejskiej oraz środki pochodzące ze źródeł zagranicznych, zrealizowane lub otrzymane przez tę jednostkę, wynikające ze sprawozdania z wykonania planu finansowego jednostki budżetowej oraz planu dochodów i wydatków zgromadzonych na wydzielonym rachunku, o którym mowa w art. 223 ust. 1 ustawy o finansach publicznych, jeżeli dana jednostka budżetowa prowadzi taki rachunek – powiększone o kwotę stanowiącą równowartość środków przeznaczonych na zasilenie tej jednostki celem realizacji przypisanych jej zadań jednostki samorządu terytorialnego, z wyjątkiem środków przeznaczonych na wypłatę, na podstawie odrębnych przepisów, zasiłków, zapomóg i innych świadczeń o podobnym charakterze na rzecz osób fizycznych. </w:t>
      </w:r>
    </w:p>
    <w:p w:rsidR="00E21D3A" w:rsidRDefault="00E21D3A" w:rsidP="00E21D3A">
      <w:pPr>
        <w:pStyle w:val="Akapitzlist"/>
        <w:spacing w:line="360" w:lineRule="auto"/>
        <w:ind w:left="426"/>
        <w:jc w:val="both"/>
      </w:pPr>
      <w:r>
        <w:t xml:space="preserve">Mając na uwadze przywołane powyżej przepisy, dochód z tytułu sprzedaży złomu pochodzącego z likwidacji środka trwałego był dochodem publicznym w rozumieniu ustawy o finansach publicznych. </w:t>
      </w:r>
    </w:p>
    <w:p w:rsidR="00E21D3A" w:rsidRDefault="00E21D3A" w:rsidP="00E21D3A">
      <w:pPr>
        <w:pStyle w:val="Akapitzlist"/>
        <w:numPr>
          <w:ilvl w:val="0"/>
          <w:numId w:val="32"/>
        </w:numPr>
        <w:spacing w:line="360" w:lineRule="auto"/>
        <w:ind w:left="426"/>
        <w:jc w:val="both"/>
      </w:pPr>
      <w:r>
        <w:t>Weryfikacja poprawności ustalenia wartości wstępnego i rzeczywistego prewspółczynnika, w oparciu o dane odpowiednio z roku 2021 i 2022 wynikające z dokumentów źródłowych (sprawozdań z wykonania planu dochodów i wydatków oraz zestawień obrotów na koncie 130) wykazała, że niemożliwe było ustalenie na podstawie zestawień obrotów i sald konta 130 (subkont wydatków i dochodów) prawidłowych kwot dochodów i wydatków na koniec okresu rozliczeniowego, gdyż ewidencja analityczna na tym koncie prowadzona była niezgodnie z załącznikiem nr 3 do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a także z Zarządzeniem w sprawie centralizacji VAT, co skutkowało zawyżeniem obrotów na tym koncie.</w:t>
      </w:r>
    </w:p>
    <w:p w:rsidR="00E21D3A" w:rsidRDefault="00E21D3A" w:rsidP="00E21D3A">
      <w:pPr>
        <w:pStyle w:val="Akapitzlist"/>
        <w:spacing w:line="360" w:lineRule="auto"/>
        <w:ind w:left="426"/>
        <w:jc w:val="both"/>
      </w:pPr>
      <w:r>
        <w:t>Analiza obrotów na poszczególnych kontach analitycznych konta 130 za rok 2021 i 2022 wykazała następujący sposób księgowania:</w:t>
      </w:r>
    </w:p>
    <w:p w:rsidR="00E21D3A" w:rsidRDefault="00E21D3A" w:rsidP="00E21D3A">
      <w:pPr>
        <w:pStyle w:val="Akapitzlist"/>
        <w:spacing w:line="360" w:lineRule="auto"/>
        <w:ind w:left="426"/>
        <w:jc w:val="both"/>
      </w:pPr>
      <w:r>
        <w:t>W zakresie wydatków (konto analityczne 130-1):</w:t>
      </w:r>
    </w:p>
    <w:p w:rsidR="00E21D3A" w:rsidRDefault="00E21D3A" w:rsidP="00E21D3A">
      <w:pPr>
        <w:pStyle w:val="Akapitzlist"/>
        <w:numPr>
          <w:ilvl w:val="0"/>
          <w:numId w:val="44"/>
        </w:numPr>
        <w:spacing w:line="360" w:lineRule="auto"/>
        <w:ind w:left="851"/>
        <w:jc w:val="both"/>
      </w:pPr>
      <w:r>
        <w:t xml:space="preserve">na kontach 130-1 – wydatki wg obiektów i paragrafów po stronie Ma księgowano wszystkie wydatki poniesione na funkcjonowanie jednostki, </w:t>
      </w:r>
    </w:p>
    <w:p w:rsidR="00E21D3A" w:rsidRDefault="00E21D3A" w:rsidP="00E21D3A">
      <w:pPr>
        <w:pStyle w:val="Akapitzlist"/>
        <w:numPr>
          <w:ilvl w:val="0"/>
          <w:numId w:val="44"/>
        </w:numPr>
        <w:spacing w:line="360" w:lineRule="auto"/>
        <w:ind w:left="851"/>
        <w:jc w:val="both"/>
      </w:pPr>
      <w:r>
        <w:t>na koncie 130-1-100 (nieprzewidzianym w polityce rachunkowości) po stronie Wn księgowano przelewy środków z Urzędu Miasta na bieżące funkcjonowanie jednostki.</w:t>
      </w:r>
    </w:p>
    <w:p w:rsidR="00E21D3A" w:rsidRDefault="00E21D3A" w:rsidP="00E21D3A">
      <w:pPr>
        <w:pStyle w:val="Akapitzlist"/>
        <w:spacing w:line="360" w:lineRule="auto"/>
        <w:ind w:left="426"/>
        <w:jc w:val="both"/>
      </w:pPr>
      <w:r>
        <w:t>W zakresie dochodów (konto analityczne 130-2):</w:t>
      </w:r>
    </w:p>
    <w:p w:rsidR="00E21D3A" w:rsidRDefault="00E21D3A" w:rsidP="00E21D3A">
      <w:pPr>
        <w:pStyle w:val="Akapitzlist"/>
        <w:numPr>
          <w:ilvl w:val="0"/>
          <w:numId w:val="45"/>
        </w:numPr>
        <w:spacing w:line="360" w:lineRule="auto"/>
        <w:ind w:left="851"/>
        <w:jc w:val="both"/>
      </w:pPr>
      <w:r>
        <w:t>na kontach 130-2 – dochody wg obiektów i paragrafów po stronie Wn księgowano wpłaty dochodów,</w:t>
      </w:r>
    </w:p>
    <w:p w:rsidR="00E21D3A" w:rsidRDefault="00E21D3A" w:rsidP="00E21D3A">
      <w:pPr>
        <w:pStyle w:val="Akapitzlist"/>
        <w:numPr>
          <w:ilvl w:val="0"/>
          <w:numId w:val="45"/>
        </w:numPr>
        <w:spacing w:line="360" w:lineRule="auto"/>
        <w:ind w:left="851"/>
        <w:jc w:val="both"/>
      </w:pPr>
      <w:r>
        <w:t xml:space="preserve">na koncie 130-2-100 (nieprzewidzianym w polityce rachunkowości) po stronie Ma księgowano odprowadzanie dochodów do Urzędu Miasta, </w:t>
      </w:r>
    </w:p>
    <w:p w:rsidR="00E21D3A" w:rsidRDefault="00E21D3A" w:rsidP="00E21D3A">
      <w:pPr>
        <w:pStyle w:val="Akapitzlist"/>
        <w:numPr>
          <w:ilvl w:val="0"/>
          <w:numId w:val="45"/>
        </w:numPr>
        <w:spacing w:line="360" w:lineRule="auto"/>
        <w:ind w:left="851"/>
        <w:jc w:val="both"/>
      </w:pPr>
      <w:r>
        <w:t>na koncie 130-2-200 – VAT SP dokonywano zapisów dotyczących kwoty podatku VAT należnego, w przypadku wpłat dochodów dokonywanych metodą split payment. Konto to nie było przewidziane w polityce rachunkowości, a obroty na nim były czyszczone przy pomocy ujemnych zapisów technicznych.</w:t>
      </w:r>
    </w:p>
    <w:p w:rsidR="00E21D3A" w:rsidRDefault="00E21D3A" w:rsidP="00E21D3A">
      <w:pPr>
        <w:pStyle w:val="Akapitzlist"/>
        <w:spacing w:line="360" w:lineRule="auto"/>
        <w:ind w:left="426"/>
        <w:jc w:val="both"/>
      </w:pPr>
      <w:r>
        <w:t>Na koniec roku dokonano przeksięgowań:</w:t>
      </w:r>
    </w:p>
    <w:p w:rsidR="00E21D3A" w:rsidRDefault="00E21D3A" w:rsidP="00E21D3A">
      <w:pPr>
        <w:pStyle w:val="Akapitzlist"/>
        <w:numPr>
          <w:ilvl w:val="0"/>
          <w:numId w:val="46"/>
        </w:numPr>
        <w:spacing w:line="360" w:lineRule="auto"/>
        <w:ind w:left="851"/>
        <w:jc w:val="both"/>
      </w:pPr>
      <w:r>
        <w:t>łącznych kwot wydatków dokonanych w danym roku w poszczególnych paragrafach zapisem Wn 130-1 – wydatki wg obiektów i paragrafów Ma 130-1-100,</w:t>
      </w:r>
    </w:p>
    <w:p w:rsidR="00E21D3A" w:rsidRDefault="00E21D3A" w:rsidP="00E21D3A">
      <w:pPr>
        <w:pStyle w:val="Akapitzlist"/>
        <w:numPr>
          <w:ilvl w:val="1"/>
          <w:numId w:val="46"/>
        </w:numPr>
        <w:spacing w:line="360" w:lineRule="auto"/>
        <w:ind w:left="1276"/>
        <w:jc w:val="both"/>
      </w:pPr>
      <w:r>
        <w:t>w 2021 roku, na podstawie polecenia księgowania PK nr 700 z dnia 31.12.2021 r. na kwotę 10.207.760,60 zł,</w:t>
      </w:r>
    </w:p>
    <w:p w:rsidR="00E21D3A" w:rsidRDefault="00E21D3A" w:rsidP="00E21D3A">
      <w:pPr>
        <w:pStyle w:val="Akapitzlist"/>
        <w:numPr>
          <w:ilvl w:val="1"/>
          <w:numId w:val="46"/>
        </w:numPr>
        <w:spacing w:line="360" w:lineRule="auto"/>
        <w:ind w:left="1276"/>
        <w:jc w:val="both"/>
      </w:pPr>
      <w:r>
        <w:t>w 2022 roku, na podstawie dokumentu prostego DP nr 65 z dnia 31.12.2022 r. na kwotę 11.072.551,93 zł,</w:t>
      </w:r>
    </w:p>
    <w:p w:rsidR="00E21D3A" w:rsidRDefault="00E21D3A" w:rsidP="00E21D3A">
      <w:pPr>
        <w:pStyle w:val="Akapitzlist"/>
        <w:numPr>
          <w:ilvl w:val="0"/>
          <w:numId w:val="46"/>
        </w:numPr>
        <w:spacing w:line="360" w:lineRule="auto"/>
        <w:ind w:left="851"/>
        <w:jc w:val="both"/>
      </w:pPr>
      <w:r>
        <w:t xml:space="preserve">łącznych kwot dochodów uzyskanych w danym roku w poszczególnych paragrafach zapisem Wn 130-2-100 Ma 130-2 dochody wg obiektów i paragrafów, </w:t>
      </w:r>
    </w:p>
    <w:p w:rsidR="00E21D3A" w:rsidRDefault="00E21D3A" w:rsidP="00E21D3A">
      <w:pPr>
        <w:pStyle w:val="Akapitzlist"/>
        <w:numPr>
          <w:ilvl w:val="1"/>
          <w:numId w:val="46"/>
        </w:numPr>
        <w:spacing w:line="360" w:lineRule="auto"/>
        <w:ind w:left="1276"/>
        <w:jc w:val="both"/>
      </w:pPr>
      <w:r>
        <w:t xml:space="preserve">w 2021 roku, na podstawie polecenia księgowania PK nr 701 z dnia 31.12.2021 r. na kwotę 1.685.096,92 zł, </w:t>
      </w:r>
    </w:p>
    <w:p w:rsidR="00E21D3A" w:rsidRDefault="00E21D3A" w:rsidP="00E21D3A">
      <w:pPr>
        <w:pStyle w:val="Akapitzlist"/>
        <w:numPr>
          <w:ilvl w:val="1"/>
          <w:numId w:val="46"/>
        </w:numPr>
        <w:spacing w:line="360" w:lineRule="auto"/>
        <w:ind w:left="1276"/>
        <w:jc w:val="both"/>
      </w:pPr>
      <w:r>
        <w:t>w 2022 roku, na podstawie dokumentu prostego DP nr 66 z dnia 31.12.2022 r. na kwotę 2.269.490,98 zł.</w:t>
      </w:r>
    </w:p>
    <w:p w:rsidR="00E21D3A" w:rsidRDefault="00E21D3A" w:rsidP="00E21D3A">
      <w:pPr>
        <w:pStyle w:val="Akapitzlist"/>
        <w:spacing w:line="360" w:lineRule="auto"/>
        <w:ind w:left="426"/>
        <w:jc w:val="both"/>
      </w:pPr>
      <w:r>
        <w:t xml:space="preserve">W wyniku takich przeksięgowań zwiększyły się obroty po obu stronach na subkontach 130-1 (wydatki) i 130-2 (dochody), gdyż dokonano ponownych zapisów na kontach analitycznych, bez zachowania czystości obrotów. Księgowań dokonano, mimo iż działanie takie było niezgodne z przyjętymi przez jednostkę zasadami funkcjonowania konta 130 oraz z instrukcją funkcjonowania konta 130 zawartą w załączniku nr 3 do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 myśl przepisów tego rozporządzenia konto 130 służy do ewidencji stanu środków pieniężnych oraz obrotów na rachunku bankowym z tytułu wydatków i dochodów (wpływów) budżetowych objętych planem finansowym. Zapisy na koncie 130 są dokonywane na podstawie dokumentów bankowych. Na koncie 130 obowiązuje zachowanie zasady czystości obrotów, co oznacza, że stosowana technika księgowości ma zapewnić możliwość prawidłowego ustalenia wysokości tych obrotów oraz niezbędne dane do sporządzenia sprawozdań finansowych, budżetowych lub innych określonych w odrębnych przepisach. Kontrola wykazała, że na podstawie zestawień obrotów i sald konta 130 (subkont wydatków i dochodów) niemożliwe było ustalenie prawidłowych kwot dochodów i wydatków na koniec okresów rozliczeniowych, niezbędnych do sporządzenia sprawozdań budżetowych. W celu uzyskania danych dotyczących dochodów i wydatków jednostka sporządzała wydruki zestawień obrotów konta 130-1 i konta 130-2 wg słownika (paragrafów dochodów i wydatków) i uzupełniała je poprzez dodawanie ręcznych zapisów zawierających dodatkowe obliczenia. </w:t>
      </w:r>
    </w:p>
    <w:p w:rsidR="00E21D3A" w:rsidRDefault="00E21D3A" w:rsidP="00E21D3A">
      <w:pPr>
        <w:pStyle w:val="Akapitzlist"/>
        <w:numPr>
          <w:ilvl w:val="0"/>
          <w:numId w:val="32"/>
        </w:numPr>
        <w:spacing w:line="360" w:lineRule="auto"/>
        <w:ind w:left="426"/>
        <w:jc w:val="both"/>
      </w:pPr>
      <w:r>
        <w:t>Jednostka nie przekazała do budżetu wszystkich wykonanych na dzień 31.12.2021 r. dochodów. W kasie jednostki pozostały środki pieniężne w kwocie 1.541,78 zł (Bilans Otwarcia Wn konta 100 – Kasa 1.541,78 zł) oraz VAT należny w kwocie 37,04 zł na rachunku rozrachunkowym ZFŚS – łącznie 1.578,82 zł. Środki pieniężne w kwocie 1.578,82 zł jednostka przekazała z rachunku dochodów na rachunek budżetu Miasta w dniu 03.01.2022 r. (Wb nr 1/01/2022 r. z 03.01.2022 r. – ewidencja księgowa Wn – konto 222 – 1.578,82 zł, Ma 130-2 – 1.578,82 zł – treść operacji: Przekazanie dochodów). Powyższe spowodowało, że obroty Wn i Ma konta 130-2 – Rachunek dochodów w każdym okresie sprawozdawczym (miesiącu) 2022 r. były wyższe o kwotę 1.578,82 zł</w:t>
      </w:r>
      <w:r>
        <w:rPr>
          <w:rStyle w:val="Odwoanieprzypisudolnego"/>
        </w:rPr>
        <w:footnoteReference w:id="8"/>
      </w:r>
      <w:r>
        <w:t>.</w:t>
      </w:r>
    </w:p>
    <w:p w:rsidR="00E21D3A" w:rsidRDefault="00E21D3A" w:rsidP="00E21D3A">
      <w:pPr>
        <w:pStyle w:val="Akapitzlist"/>
        <w:numPr>
          <w:ilvl w:val="0"/>
          <w:numId w:val="32"/>
        </w:numPr>
        <w:spacing w:before="120" w:after="0" w:line="360" w:lineRule="auto"/>
        <w:ind w:left="425"/>
        <w:contextualSpacing w:val="0"/>
        <w:jc w:val="both"/>
      </w:pPr>
      <w:r>
        <w:t>Podstawę sporządzenia sprawozdań budżetowych stanowiły wydruki obrotów konta 130-1 i konta 130-2 wg słownika (paragrafów dochodów i wydatków)</w:t>
      </w:r>
      <w:r w:rsidRPr="00A06C3F">
        <w:t xml:space="preserve"> </w:t>
      </w:r>
      <w:r>
        <w:t>z buforem. Dokumenty te nie powinny stanowić dla jednostki podstawy do ustaleń wysokości wykonanych przez jednostkę w roku 2021 oraz 2022 dochodów i wydatków budżetowych, gdyż w myśl uchwały nr 5/10 Komitetu Standardów Rachunkowości z dnia 13 kwietnia 2010 r. w sprawie przyjęcia stanowiska Komitetu w sprawie niektórych zasad prowadzenia ksiąg rachunkowych</w:t>
      </w:r>
      <w:r>
        <w:rPr>
          <w:rStyle w:val="Odwoanieprzypisudolnego"/>
        </w:rPr>
        <w:footnoteReference w:id="9"/>
      </w:r>
      <w:r>
        <w:t>, w sytuacji, gdy wprowadzenie danych dowodu księgowego do systemu finansowo-księgowego nie wiąże się bezpośrednio z decydowaniem o sposobie jego zakwalifikowania do ujęcia w księgach rachunkowych oraz kontrolą poprawności zapisów zdarzeń, dokonywanych w księgach rachunkowych – to samo wprowadzanie danych do tego systemu nie jest równoważne z prowadzeniem ksiąg rachunkowych. Powyższe świadczy o naruszeniu art. 24 ust. 1 w zakresie bieżącego prowadzenia ksiąg, w związku z art. 24 ust. 5 pkt 1, który stanowi, iż „księgi rachunkowe uznaje się za prowadzone bieżąco, jeżeli pochodzące z nich informacje umożliwiają sporządzenie w terminie obowiązujących jednostkę sprawozdań finansowych i innych, sprawozdań, w tym deklaracji podatkowych oraz dokonanie rozliczeń finansowych”.</w:t>
      </w:r>
    </w:p>
    <w:p w:rsidR="00E21D3A" w:rsidRDefault="00E21D3A" w:rsidP="00E21D3A">
      <w:pPr>
        <w:pStyle w:val="Akapitzlist"/>
        <w:numPr>
          <w:ilvl w:val="0"/>
          <w:numId w:val="32"/>
        </w:numPr>
        <w:spacing w:line="360" w:lineRule="auto"/>
        <w:ind w:left="426"/>
        <w:jc w:val="both"/>
      </w:pPr>
      <w:r>
        <w:t>Jednostka nie przestrzegała zasad opisanych w rozdziale IX Psrp VAT dotyczących realizacji przelewów VAT w mechanizmie podzielonej płatności (split payment) oraz ich ewidencji księgowej, a także nie uwzględniła w polityce rachunkowości postanowień Psrp VAT w zakresie realizacji przelewów VAT z zastosowaniem mechanizmów podzielonej płatności i ich ewidencji księgowej oraz zasad funkcjonowania kont związanych z rozliczeniem VAT (w polityce rachunkowości jednostki brak uregulowań dotyczących funkcjonowania konta 130-2-200 – VAT SP). W myśl przepisów ustawy Prawo bankowe w zakresie prowadzenia rachunku VAT, z rachunku VAT można płacić m.in. zaliczki na podatek od wynagrodzeń. Zatem w sytuacji, gdy jednostka posiadała jeden rachunek VAT do wszystkich rachunków rozliczeniowych, system GB24, w związku z realizacją przelewu tytułem zaliczki na podatek od osób fizycznych, pobrał środki zgromadzone na rachunku VAT (37,04 zł – VAT należnego od dochodów za grudzień 2021 r.).</w:t>
      </w:r>
    </w:p>
    <w:p w:rsidR="00E21D3A" w:rsidRDefault="00E21D3A" w:rsidP="00E21D3A">
      <w:pPr>
        <w:pStyle w:val="Akapitzlist"/>
        <w:spacing w:line="360" w:lineRule="auto"/>
        <w:ind w:left="426"/>
        <w:jc w:val="both"/>
      </w:pPr>
      <w:r>
        <w:t>Powyższym działaniem jednostka naruszyła przepisy określone w załączniku nr 2 do zarządzenia nr 378 Prezydenta Miasta z dnia 15 grudnia 2020 r. w sprawie zasad centralizacji rozliczeń podatku od towarów i usług VAT obowiązujących w Mieście Piotrków Trybunalski określającym zasady realizacji przelewów VAT w mechanizmie podzielonej płatności (split payment) i ich ewidencji księgowej. Ustalono, że jednostka nie utworzyła konta Rachunek VAT przy rachunku bieżącym mimo, iż bank otworzył dodatkowy rachunek VAT (sugerowana przez Miasto budowa konta 130-VJ i konto analityczne 130-VJ-D-SP). Funkcjonujące w 2021 r. w jednostce konto 130-2-200 nie spełniało funkcji rachunku VAT przy rachunku dochodów, czego potwierdzeniem są wyżej opisane ustalenia kontroli.</w:t>
      </w:r>
    </w:p>
    <w:p w:rsidR="00E21D3A" w:rsidRDefault="00E21D3A" w:rsidP="00E21D3A">
      <w:pPr>
        <w:pStyle w:val="Akapitzlist"/>
        <w:numPr>
          <w:ilvl w:val="0"/>
          <w:numId w:val="32"/>
        </w:numPr>
        <w:spacing w:line="360" w:lineRule="auto"/>
        <w:ind w:left="426"/>
        <w:jc w:val="both"/>
      </w:pPr>
      <w:r>
        <w:t>Konta 130-1-100, 130-2-100, 130-2-101, 130-2-200 i zasady ich funkcjonowania nie zostały uregulowane w polityce rachunkowości jednostki. Zgodnie z art. 10 ust. 2 ustawy z dnia 29 września 1994 r. o rachunkowości, stosowane przez jednostkę rozwiązania ewidencyjne powinny wynikać z przyjętych zasad (polityki) rachunkowości, którą ustala w formie pisemnej i aktualizuje kierownik jednostki.</w:t>
      </w:r>
    </w:p>
    <w:p w:rsidR="00E21D3A" w:rsidRDefault="00E21D3A" w:rsidP="00E21D3A">
      <w:pPr>
        <w:pStyle w:val="Akapitzlist"/>
        <w:numPr>
          <w:ilvl w:val="0"/>
          <w:numId w:val="32"/>
        </w:numPr>
        <w:spacing w:line="360" w:lineRule="auto"/>
        <w:ind w:left="426"/>
        <w:jc w:val="both"/>
      </w:pPr>
      <w:r>
        <w:t>Dowody księgowe (np. polecenia księgowania DP 65 i 66 z dnia 31.12.2022 r.) nie zawierały podpisu wystawcy dowodu, a także potwierdzenia sprawdzenia i zakwalifikowania dowodu do ujęcia w księgach rachunkowych przez wskazanie miesiąca oraz sposobu ujęcia dowodu w księgach rachunkowych (dekretacja) oraz podpisu osoby odpowiedzialnej za te wskazania, co było niezgodne z art. 21 ust. 1 ustawy o rachunkowości.</w:t>
      </w:r>
    </w:p>
    <w:p w:rsidR="00E21D3A" w:rsidRDefault="00E21D3A" w:rsidP="00E21D3A">
      <w:pPr>
        <w:pStyle w:val="Nagwek2"/>
      </w:pPr>
      <w:r w:rsidRPr="00CC15A3">
        <w:t xml:space="preserve">W zakresie </w:t>
      </w:r>
      <w:r w:rsidRPr="008D42D5">
        <w:t xml:space="preserve">sprzedaży towarów i usług – </w:t>
      </w:r>
      <w:r>
        <w:t>VAT</w:t>
      </w:r>
      <w:r w:rsidRPr="008D42D5">
        <w:t xml:space="preserve"> należny</w:t>
      </w:r>
    </w:p>
    <w:p w:rsidR="00E21D3A" w:rsidRDefault="00E21D3A" w:rsidP="00E21D3A">
      <w:pPr>
        <w:pStyle w:val="Akapitzlist"/>
        <w:numPr>
          <w:ilvl w:val="0"/>
          <w:numId w:val="33"/>
        </w:numPr>
        <w:spacing w:before="120" w:after="0" w:line="360" w:lineRule="auto"/>
        <w:contextualSpacing w:val="0"/>
        <w:jc w:val="both"/>
      </w:pPr>
      <w:r>
        <w:t>Poddane kontroli umowy najmu nie zawierały określonego wprost (kalendarzowo) terminu płatności czynszu. Termin ten był określony pośrednio (uzależniony od wystawienia i doręczenia faktury). Według ogólnych zasad określonych w art. 19a ust. 1 ustawy o podatku od towarów i usług, obowiązek podatkowy powstaje w momencie dostawy towarów lub wykonania usługi, są jednak pewne wyjątki,</w:t>
      </w:r>
      <w:r>
        <w:br/>
        <w:t>dla których w ustawie określone są inne terminy. Do takich wyjątków zalicza się usługa najmu – w tym przypadku obowiązek podatkowy powstaje w momencie wystawienia faktury (art. 19a ust. 5 pkt 4 ustawy o VAT). Termin ten obowiązuje w sytuacji, gdy faktura zostanie wystawiona zgodnie z zasadami dotyczącymi najmu, czyli najpóźniej w dniu terminu płatności za najem. Mając na uwadze również art. 19a ust. 7, w przypadku świadczenia ww. usług, obowiązek podatkowy powstaje z chwilą wystawienia faktury z tego tytułu, natomiast w przypadku gdy podatnik świadczący usługę najmu nie wystawił faktury lub wystawił ją z opóźnieniem, obowiązek podatkowy powstaje z chwilą upływu terminów wystawienia faktury, określonych w art. 106i ust. 3 pkt 4 (tj. nie później niż z upływem terminu płatności), a w przypadku gdy nie określono takiego terminu, z chwilą upływu terminu płatności. A zatem termin płatności czynszu powinien być określony w umowie, z uwagi na to, że determinuje on moment wystawienia faktury, a w przypadku wystawienia jej z opóźnieniem, pozwala ustalić moment powstania obowiązku podatkowego. Z kolei data płatności wskazana w treści faktury – powinna być zgodna z postanowieniami umowy.</w:t>
      </w:r>
    </w:p>
    <w:p w:rsidR="00E21D3A" w:rsidRDefault="00E21D3A" w:rsidP="00E21D3A">
      <w:pPr>
        <w:pStyle w:val="Akapitzlist"/>
        <w:numPr>
          <w:ilvl w:val="0"/>
          <w:numId w:val="33"/>
        </w:numPr>
        <w:spacing w:before="120" w:after="0" w:line="360" w:lineRule="auto"/>
        <w:contextualSpacing w:val="0"/>
        <w:jc w:val="both"/>
      </w:pPr>
      <w:r>
        <w:t>Mimo wprowadzenia na przestrzeni lat kolejnych aneksów do umowy z dnia 02.06.2003 r. najmu lokalu wykorzystywanego przez najemcę na działalność gastronomiczną jednostka nie dostosowała zapisów umowy do przepisów dotyczących stawki podatku VAT (przyjęta w umowie z 2003 roku stawka podatku VAT 22 % nie została zmieniona, mimo iż od dnia 1 stycznia 2011 r. Ministerstwo Finansów podniosło stawki podatku VAT o 1 punkt procentowy i tak odpowiednio: 22% zmieniono na 23%, a 7% na 8%. Warto w tym miejscu podkreślić, że już podczas kontroli przeprowadzonej przez Biuro Kontroli UM w roku 2022 kontrolujący zwracał jednostce uwagę na brak aktualizacji stawki VAT.</w:t>
      </w:r>
    </w:p>
    <w:p w:rsidR="00E21D3A" w:rsidRDefault="00E21D3A" w:rsidP="00E21D3A">
      <w:pPr>
        <w:pStyle w:val="Akapitzlist"/>
        <w:numPr>
          <w:ilvl w:val="0"/>
          <w:numId w:val="33"/>
        </w:numPr>
        <w:spacing w:before="120" w:after="0" w:line="360" w:lineRule="auto"/>
        <w:contextualSpacing w:val="0"/>
        <w:jc w:val="both"/>
      </w:pPr>
      <w:r>
        <w:t xml:space="preserve">Poddane kontroli faktury sprzedażowe OSIR/0529/2022, OSIR/0542/2022, OSIR/0588/2022, OSIR/0607/2022, OSIR/0650/2022, OSIR/0677/2022) w swej treści zawierały wskazanie miesiąca, którego dotyczą (czynsz ustalany był z góry za dany miesiąc), przy czym data sprzedaży odpowiadała dacie wystawienia faktury (zawierała się w miesiącu, którego dotyczyła faktura). </w:t>
      </w:r>
    </w:p>
    <w:p w:rsidR="00E21D3A" w:rsidRDefault="00E21D3A" w:rsidP="00E21D3A">
      <w:pPr>
        <w:pStyle w:val="Akapitzlist"/>
        <w:spacing w:before="120" w:after="0" w:line="360" w:lineRule="auto"/>
        <w:ind w:left="454"/>
        <w:contextualSpacing w:val="0"/>
        <w:jc w:val="both"/>
      </w:pPr>
      <w:r>
        <w:t>W przypadku usług najmu rozliczanych w okresach miesięcznych, data sprzedaży powinna być określona zgodnie z art. 19a ust. 3 ustawy o VAT, który stanowi, że usługę, dla której w związku z jej świadczeniem ustalane są następujące po sobie terminy płatności lub rozliczeń, uznaje się za wykonaną z upływem każdego okresu, do którego odnoszą się te płatności lub rozliczenia, do momentu zakończenia świadczenia tej usługi (a zatem w polu data sprzedaży jednostka winna wskazać ostatni dzień miesięcznego okresu rozliczeniowego, którego dotyczy).</w:t>
      </w:r>
    </w:p>
    <w:p w:rsidR="00E21D3A" w:rsidRDefault="00E21D3A" w:rsidP="00E21D3A">
      <w:pPr>
        <w:pStyle w:val="Akapitzlist"/>
        <w:numPr>
          <w:ilvl w:val="0"/>
          <w:numId w:val="33"/>
        </w:numPr>
        <w:spacing w:before="120" w:after="0" w:line="360" w:lineRule="auto"/>
        <w:contextualSpacing w:val="0"/>
        <w:jc w:val="both"/>
      </w:pPr>
      <w:r>
        <w:t>Określony w fakturach OSIR/0529/2022, OSIR/0588/2022, OSIR/0650/2022 termin płatności nie był zgodny z umową. Z § 8 ust. 2 aneksu nr 1/2022 r. z dnia 28.10.2022 r. do umowy najmu lokalu z dnia 2.06.2003 r.  r. – wynikało, że czynsz najmu płatny jest z góry w okresach miesięcznych w terminie 7 dni, na podstawie faktury VAT wystawionej przez Wynajmującego, natomiast na fakturach jednostka określała termin płatności wskazując datę dzienną – czternaście dni po dacie wystawienia faktury.</w:t>
      </w:r>
      <w:r>
        <w:rPr>
          <w:rStyle w:val="Odwoanieprzypisudolnego"/>
        </w:rPr>
        <w:footnoteReference w:id="10"/>
      </w:r>
      <w:r>
        <w:t xml:space="preserve"> </w:t>
      </w:r>
    </w:p>
    <w:p w:rsidR="00E21D3A" w:rsidRDefault="00E21D3A" w:rsidP="00E21D3A">
      <w:pPr>
        <w:pStyle w:val="Akapitzlist"/>
        <w:numPr>
          <w:ilvl w:val="0"/>
          <w:numId w:val="33"/>
        </w:numPr>
        <w:spacing w:before="120" w:after="0" w:line="360" w:lineRule="auto"/>
        <w:contextualSpacing w:val="0"/>
        <w:jc w:val="both"/>
      </w:pPr>
      <w:r>
        <w:t>W odniesieniu do umowy nr 28/22/BB/D z dnia 03 października 2022 r. na realizację usługi w postaci jednorazowych wejść, uprawniających do korzystania przez uczniów z krytej pływalni przy ul. Belzackiej 106 stwierdzono, że w okresie od 01.10.2022 r. do 31.12.2022 r. ilość jednorazowych wejść na pływalnie była wyższa o 165 wejść (90 wejść w październiku i 75 wejść w listopadzie) od ilości wejść wykazanych na fakturach</w:t>
      </w:r>
      <w:r>
        <w:rPr>
          <w:rStyle w:val="Odwoanieprzypisudolnego"/>
        </w:rPr>
        <w:footnoteReference w:id="11"/>
      </w:r>
      <w:r>
        <w:t>. Powyższe wskazuje na brak dostatecznego nadzoru nad realizacją zadań pracowników Krytej Pływalni oraz postanowień umowy (w myśl postanowień umowy rozliczenie za korzystanie z pływalni przez Najemcę nastąpić miało na podstawie ilości wykorzystanych w danym miesiącu wejść jednorazowych).</w:t>
      </w:r>
    </w:p>
    <w:p w:rsidR="00E21D3A" w:rsidRDefault="00E21D3A" w:rsidP="00E21D3A">
      <w:pPr>
        <w:pStyle w:val="Akapitzlist"/>
        <w:numPr>
          <w:ilvl w:val="0"/>
          <w:numId w:val="33"/>
        </w:numPr>
        <w:spacing w:before="120" w:after="0" w:line="360" w:lineRule="auto"/>
        <w:contextualSpacing w:val="0"/>
        <w:jc w:val="both"/>
      </w:pPr>
      <w:r>
        <w:t>Na fakturach z tytułu korzystania z krytej pływalni na podstawie umowy nr 28/22/BB/D (faktury: OSIR/0730/2022, OSIR/0821/2022,OSIR/0908/2022) oraz wynajmu torów na podstawie umowy nr 24/22/BP/D (faktury: OSIR/0728/2022, OSIR/0815/2022,OSIR 0871/2022), jako nabywcę usługi jednostka wskazywała nazwy i adresy podmiotów niebędących czynnymi podatnikami VAT</w:t>
      </w:r>
      <w:r>
        <w:rPr>
          <w:rStyle w:val="Odwoanieprzypisudolnego"/>
        </w:rPr>
        <w:footnoteReference w:id="12"/>
      </w:r>
      <w:r>
        <w:t xml:space="preserve"> oraz numery NIP, które nie należały do tych podmiotów</w:t>
      </w:r>
      <w:r>
        <w:rPr>
          <w:rStyle w:val="Odwoanieprzypisudolnego"/>
        </w:rPr>
        <w:footnoteReference w:id="13"/>
      </w:r>
      <w:r>
        <w:t xml:space="preserve">. W myśl art. 106e ust. 1 pkt 4 i 5 ustawy o VAT faktury powinny zawierać między innymi numer, za pomocą którego nabywca towarów lub usług jest zidentyfikowany na potrzeby podatku od wartości dodanej (na fakturze oznaczony jako „NIP nabywcy”). Podanie na fakturze danych nabywcy, a przede wszystkim numeru NIP wymaga od podmiotu rejestracji w urzędzie skarbowym jako „podatnika VAT czynnego”, który co miesiąc składa deklarację VAT-7. Oprócz numeru NIP faktura musi zawierać także nazwę organu i jego adres. Na fakturze w miejscu przeznaczonym na nabywcę mogą występować tylko dane podatnika zarejestrowanego w urzędzie skarbowym, zaś dane szkoły: jej nazwa i adres, bez NIP powinny być podane na fakturze jako dane Odbiorcy. </w:t>
      </w:r>
    </w:p>
    <w:p w:rsidR="00E21D3A" w:rsidRDefault="00E21D3A" w:rsidP="00E21D3A">
      <w:pPr>
        <w:pStyle w:val="Nagwek2"/>
      </w:pPr>
      <w:r w:rsidRPr="00CC15A3">
        <w:t xml:space="preserve">W zakresie </w:t>
      </w:r>
      <w:r w:rsidRPr="00854258">
        <w:t>sprzedaży rejestrowanej na kasach fiskalnych</w:t>
      </w:r>
    </w:p>
    <w:p w:rsidR="00E21D3A" w:rsidRDefault="00E21D3A" w:rsidP="00E21D3A">
      <w:pPr>
        <w:pStyle w:val="Akapitzlist"/>
        <w:numPr>
          <w:ilvl w:val="0"/>
          <w:numId w:val="34"/>
        </w:numPr>
        <w:spacing w:before="120" w:after="0" w:line="360" w:lineRule="auto"/>
        <w:contextualSpacing w:val="0"/>
        <w:jc w:val="both"/>
      </w:pPr>
      <w:r>
        <w:t>Ustalono, że w 2022 r. jednostka prowadziła ewidencję sprzedaży przy użyciu 9 kas rejestrujących rozmieszczonych w poszczególnych obiektach sportowych i rekreacyjnych, jednakże nie miała uregulowań wewnętrznych dotyczących przyjętych zasad związanych z użytkowaniem kas fiskalnych.</w:t>
      </w:r>
    </w:p>
    <w:p w:rsidR="00E21D3A" w:rsidRDefault="00E21D3A" w:rsidP="00E21D3A">
      <w:pPr>
        <w:pStyle w:val="Akapitzlist"/>
        <w:numPr>
          <w:ilvl w:val="0"/>
          <w:numId w:val="34"/>
        </w:numPr>
        <w:spacing w:before="120" w:after="0" w:line="360" w:lineRule="auto"/>
        <w:contextualSpacing w:val="0"/>
        <w:jc w:val="both"/>
      </w:pPr>
      <w:r>
        <w:t xml:space="preserve"> Kontrola wykazała brak daty sporządzenia raportu kasowego RK Nr 22/VIII/2022 za okres od 01.08.2022 r. do 10.08.2022 r.</w:t>
      </w:r>
      <w:r>
        <w:rPr>
          <w:rStyle w:val="Odwoanieprzypisudolnego"/>
        </w:rPr>
        <w:footnoteReference w:id="14"/>
      </w:r>
      <w:r>
        <w:t>, a także brak stwierdzenia sprawdzenia i zakwalifikowania dowodu do ujęcia w księgach rachunkowych przez wskazanie miesiąca oraz sposobu ujęcia dowodu w księgach rachunkowych (dekretacji) i podpisu osoby odpowiedzialnej za te wskazania, czym naruszono art. 21 ust. 1 ustawy o rachunkowości.</w:t>
      </w:r>
    </w:p>
    <w:p w:rsidR="00E21D3A" w:rsidRPr="00950B32" w:rsidRDefault="00E21D3A" w:rsidP="00E21D3A">
      <w:pPr>
        <w:pStyle w:val="Akapitzlist"/>
        <w:numPr>
          <w:ilvl w:val="0"/>
          <w:numId w:val="34"/>
        </w:numPr>
        <w:spacing w:before="120" w:after="0" w:line="360" w:lineRule="auto"/>
        <w:contextualSpacing w:val="0"/>
        <w:jc w:val="both"/>
      </w:pPr>
      <w:r>
        <w:t>Stwierdzono błędy w ewidencji księgowej w zakresie dochodów z tytułu sprzedaży ewidencjonowanej przy pomocy kas fiskalnych</w:t>
      </w:r>
      <w:r w:rsidRPr="00950B32">
        <w:t>, w szczególności:</w:t>
      </w:r>
    </w:p>
    <w:p w:rsidR="00E21D3A" w:rsidRDefault="00E21D3A" w:rsidP="00E21D3A">
      <w:pPr>
        <w:pStyle w:val="Akapitzlist"/>
        <w:numPr>
          <w:ilvl w:val="0"/>
          <w:numId w:val="43"/>
        </w:numPr>
        <w:spacing w:line="360" w:lineRule="auto"/>
        <w:ind w:left="993"/>
        <w:jc w:val="both"/>
      </w:pPr>
      <w:r>
        <w:t>Podstawę zapisu księgowego stanowił dokument o numerze identyfikacyjnym RKD 22/100-2/08/2022 (inny, niż numer identyfikacyjny raportu kasowego). Warto w tym miejscu podkreślić również, że w 2022 r. raporty kasowe sporządzane były w jednostce ręcznie, mimo iż program komputerowy Symfonia umożliwiał wykonywanie tych czynności automatycznie przez system informatyczny.</w:t>
      </w:r>
    </w:p>
    <w:p w:rsidR="00E21D3A" w:rsidRDefault="00E21D3A" w:rsidP="00E21D3A">
      <w:pPr>
        <w:pStyle w:val="Akapitzlist"/>
        <w:numPr>
          <w:ilvl w:val="0"/>
          <w:numId w:val="43"/>
        </w:numPr>
        <w:spacing w:line="360" w:lineRule="auto"/>
        <w:ind w:left="993"/>
        <w:jc w:val="both"/>
      </w:pPr>
      <w:r>
        <w:t>Wpływ środków pieniężnych z kas fiskalnych do kasy OSiR za okres od 01.08.2022 r. do 10.08.2022 r. jednostka zaewidencjonowała w księgach rachunkowych pod datą 31.08.2022 r. w następujący sposób: Wn – konto 100 – Kasa (wg obiektów i paragrafów) na łączną kwotę 23.752,46 zł brutto, Ma – konto 234 – Pozostałe rozrachunki z pracownikami (wg tytułów rozrachunków i pracowników) na łączną kwotę 23.752,46 zł brutto (D.K. poz. 3473 VIII) – treść operacji: „RKD 22/100-2/08/2022 od 01.08.2022 do 10”. Ewidencjonowanie wpływów środków z kas fiskalnych na koncie 234 nie wynikało z polityki rachunkowości jednostki.</w:t>
      </w:r>
      <w:r>
        <w:rPr>
          <w:rStyle w:val="Odwoanieprzypisudolnego"/>
        </w:rPr>
        <w:footnoteReference w:id="15"/>
      </w:r>
    </w:p>
    <w:p w:rsidR="00E21D3A" w:rsidRDefault="00E21D3A" w:rsidP="00E21D3A">
      <w:pPr>
        <w:pStyle w:val="Akapitzlist"/>
        <w:numPr>
          <w:ilvl w:val="0"/>
          <w:numId w:val="43"/>
        </w:numPr>
        <w:spacing w:line="360" w:lineRule="auto"/>
        <w:ind w:left="993"/>
        <w:jc w:val="both"/>
      </w:pPr>
      <w:r>
        <w:t>Na podstawie dziennika księgowań D.K. poz. 3474/2022 VIII pod datą 31.08.2022 r. jednostka zaewidencjonowała operację gospodarczą o treści: RKD 22,23,24/08/2022 Centrum Rekreacyjne w następujący sposób: Wn konto 234 Pozostałe rozrachunki z pracownikami (wg tytułów rozrachunków i pracowników) na łączną kwotę 2.511,50 zł</w:t>
      </w:r>
      <w:r>
        <w:rPr>
          <w:rStyle w:val="Odwoanieprzypisudolnego"/>
        </w:rPr>
        <w:footnoteReference w:id="16"/>
      </w:r>
      <w:r>
        <w:t>, Ma 720 – Przychody z tytułu dochodów budżetowych (wg obiektów i paragrafów) – 2.325,45 zł</w:t>
      </w:r>
      <w:r>
        <w:rPr>
          <w:rStyle w:val="Odwoanieprzypisudolnego"/>
        </w:rPr>
        <w:footnoteReference w:id="17"/>
      </w:r>
      <w:r>
        <w:t xml:space="preserve"> i Ma – 225-2-10-1 – Rozliczenie VAT bez podziału – 186,05 zł</w:t>
      </w:r>
      <w:r>
        <w:rPr>
          <w:rStyle w:val="Odwoanieprzypisudolnego"/>
        </w:rPr>
        <w:footnoteReference w:id="18"/>
      </w:r>
      <w:r>
        <w:t>. W dzienniku jako numer identyfikacyjny dokumentu jednostka wskazała symbol – ZSG/OSiR/830/08/22. Dodatkowo zapis operacji gospodarczej zawierał skrót/kod opisu operacji, który nie wynikał z przyjętych przez jednostkę zasad (polityki) rachunkowości. Analiza zapisów w dzienniku księgowań (konto 100-2) wykazała, że symbol RKD 22,23,24/08/2022 odnosił się do raportów kasowych dokumentujących przychód w sierpniu 2022 r. środków pieniężnych do kasy OSiR w łącznej kwocie 77.737,23 zł brutto (w tym z kas fiskalnych 66 649,54 zł brutto)</w:t>
      </w:r>
      <w:r>
        <w:rPr>
          <w:rStyle w:val="Odwoanieprzypisudolnego"/>
        </w:rPr>
        <w:footnoteReference w:id="19"/>
      </w:r>
      <w:r>
        <w:t>.</w:t>
      </w:r>
    </w:p>
    <w:p w:rsidR="00E21D3A" w:rsidRDefault="00E21D3A" w:rsidP="00E21D3A">
      <w:pPr>
        <w:pStyle w:val="Akapitzlist"/>
        <w:spacing w:line="360" w:lineRule="auto"/>
        <w:ind w:left="454"/>
        <w:jc w:val="both"/>
      </w:pPr>
      <w:r>
        <w:t xml:space="preserve">Zgodnie z ustawą o rachunkowości podstawą zapisów zdarzeń gospodarczych w księgach rachunkowych są dowody księgowe (dowody źródłowe) stwierdzające dokonanie operacji gospodarczej. Dowody księgowe powinny być rzetelne, to jest zgodne z rzeczywistym przebiegiem operacji gospodarczej, którą dokumentują, kompletne, zawierające co najmniej dane, które wskazuje art. 21 ustawy o rachunkowości. Z kolei w myśl art. 23 ust. 2 pkt 3 tej ustawy treść dowodu powinna być pełna i zrozumiała. Formułując treść dokumentu należy używać wyłącznie skrótów powszechnie przyjętych oraz symboli ujętych w obowiązujących indeksach/kodach. Jeżeli jedną operację dokumentuje więcej niż jeden dowód lub więcej niż jeden egzemplarz dowodu, kierownik jednostki powinien ustalić sposób postępowania z każdym z nich i wskazać, który dowód lub jego egzemplarz będzie podstawą do dokonania zapisu. </w:t>
      </w:r>
    </w:p>
    <w:p w:rsidR="00E21D3A" w:rsidRDefault="00E21D3A" w:rsidP="00E21D3A">
      <w:pPr>
        <w:pStyle w:val="Akapitzlist"/>
        <w:spacing w:line="360" w:lineRule="auto"/>
        <w:ind w:left="454"/>
        <w:jc w:val="both"/>
      </w:pPr>
      <w:r>
        <w:t>Przyjęty przez jednostkę sposób ewidencji dochodu z tytułu sprzedaży ewidencjonowanej przy pomocy kas fiskalnych nie wynikał z przyjętych przez jednostkę w 2022 r. zasad rachunkowości, był niezgodny z przepisami rozporządzenia w sprawie rachunkowości oraz planów kont w zakresie funkcjonowania konta 234 – Pozostałe rozrachunki z pracownikami i nie spełniał wymogów procedury Psrp VAT, tj. obowiązku ewidencjonowania podatku VAT należnego wg stawek podatkowych na podstawie dokumentów źródłowych (w omawianym przypadku dowodem księgowym powinien być raport dobowy z kas fiskalnych).</w:t>
      </w:r>
    </w:p>
    <w:p w:rsidR="00E21D3A" w:rsidRDefault="00E21D3A" w:rsidP="00E21D3A">
      <w:pPr>
        <w:pStyle w:val="Nagwek2"/>
      </w:pPr>
      <w:r w:rsidRPr="00CC15A3">
        <w:t xml:space="preserve">W zakresie </w:t>
      </w:r>
      <w:r w:rsidRPr="00854258">
        <w:t xml:space="preserve">ewidencjonowania podatku </w:t>
      </w:r>
      <w:r>
        <w:t>VAT</w:t>
      </w:r>
      <w:r w:rsidRPr="00854258">
        <w:t xml:space="preserve"> należnego w księgach rachunkowych</w:t>
      </w:r>
    </w:p>
    <w:p w:rsidR="00E21D3A" w:rsidRDefault="00E21D3A" w:rsidP="00E21D3A">
      <w:pPr>
        <w:spacing w:after="0" w:line="360" w:lineRule="auto"/>
        <w:ind w:left="426"/>
        <w:jc w:val="both"/>
      </w:pPr>
      <w:r>
        <w:t>Ustalono, że VAT należny wynikający z faktur sprzedażowych, w danym okresie rozliczeniowym jednostka ewidencjonowała na koncie 225-2-10-1 – VAT należny bez podziału (strona Ma konta), zamiast na kontach 225-2-10 wg stawek podatkowych. Pod datą ostatniego dnia okresu rozliczeniowego na podstawie polecenia księgowania – PK jednostka dokonywała następujących księgowań:</w:t>
      </w:r>
    </w:p>
    <w:p w:rsidR="00E21D3A" w:rsidRDefault="00E21D3A" w:rsidP="00E21D3A">
      <w:pPr>
        <w:pStyle w:val="Akapitzlist"/>
        <w:numPr>
          <w:ilvl w:val="0"/>
          <w:numId w:val="47"/>
        </w:numPr>
        <w:spacing w:line="360" w:lineRule="auto"/>
        <w:ind w:left="993"/>
        <w:jc w:val="both"/>
      </w:pPr>
      <w:r>
        <w:t xml:space="preserve">Wn 225-2-10-1, Ma-225-2-10 wg stawek podatkowych </w:t>
      </w:r>
    </w:p>
    <w:p w:rsidR="00E21D3A" w:rsidRDefault="00E21D3A" w:rsidP="00E21D3A">
      <w:pPr>
        <w:pStyle w:val="Akapitzlist"/>
        <w:numPr>
          <w:ilvl w:val="0"/>
          <w:numId w:val="47"/>
        </w:numPr>
        <w:spacing w:line="360" w:lineRule="auto"/>
        <w:ind w:left="993"/>
        <w:jc w:val="both"/>
      </w:pPr>
      <w:r>
        <w:t>Wn 225-2-10-1, Ma-225-2-10-1 ze znakiem minus,</w:t>
      </w:r>
    </w:p>
    <w:p w:rsidR="00E21D3A" w:rsidRDefault="00E21D3A" w:rsidP="00E21D3A">
      <w:pPr>
        <w:pStyle w:val="Akapitzlist"/>
        <w:numPr>
          <w:ilvl w:val="0"/>
          <w:numId w:val="47"/>
        </w:numPr>
        <w:spacing w:line="360" w:lineRule="auto"/>
        <w:ind w:left="993"/>
        <w:jc w:val="both"/>
      </w:pPr>
      <w:r>
        <w:t>Wn-225-2-10 wg stawek podatkowych, Ma-225-2-99 rozliczenie VAT z jednostką centralną.</w:t>
      </w:r>
    </w:p>
    <w:p w:rsidR="00E21D3A" w:rsidRDefault="00E21D3A" w:rsidP="00E21D3A">
      <w:pPr>
        <w:pStyle w:val="Akapitzlist"/>
        <w:spacing w:line="360" w:lineRule="auto"/>
        <w:ind w:left="454"/>
        <w:jc w:val="both"/>
      </w:pPr>
      <w:r>
        <w:t xml:space="preserve">Jednostka wprowadzała po obu stronach konta 225-2-10-1 tę samą kwotę ze znakiem minus w celu wyczyszczenia tych obrotów (treść operacji gospodarczych „Rozliczenie VAT za m-c…– sprzedaż [wskazana stawka VAT]”), gdyż obroty na koncie 225-2-10 miały sztucznie zawyżone wartości. Na koniec miesiąca saldo Ma konta 225-2-10 VAT należny podlegało przeksięgowaniu na konto 225-2-99 - Rozliczenie VAT z jednostką centralną (Wn-225-2-10, Ma-225-2-99). </w:t>
      </w:r>
    </w:p>
    <w:p w:rsidR="00E21D3A" w:rsidRDefault="00E21D3A" w:rsidP="00E21D3A">
      <w:pPr>
        <w:pStyle w:val="Akapitzlist"/>
        <w:spacing w:line="360" w:lineRule="auto"/>
        <w:ind w:left="454"/>
        <w:jc w:val="both"/>
      </w:pPr>
      <w:r>
        <w:t xml:space="preserve">Ustalono, że jednostka nie przestrzegała zasad ewidencjonowania w księgach rachunkowych jednostki podatku VAT należnego w Mieście Piotrków Trybunalski, o których mowa w załączniku nr 2 zarządzenia nr 378 Prezydenta Miasta Piotrkowa Trybunalskiego z dnia 15.12.2020 r., w tym obowiązku ewidencjonowania podatku VAT należnego wynikającego z faktur sprzedażowych w danym miesiącu na kontach analitycznych wg stawek podatkowych (225-2-10-5-stawka 5%, 225-2-10-8-stawka 8%, 225-2-10-23-stawka 23%) utworzonych do konta 225-2-10 VAT należny. Na podstawie art. 24 ust. 1 i 2 ustawy o rachunkowości księgi rachunkowe powinny być prowadzone rzetelnie – dokonane w nich zapisy powinny odzwierciedlać stan rzeczywisty. </w:t>
      </w:r>
    </w:p>
    <w:p w:rsidR="00E21D3A" w:rsidRDefault="00E21D3A" w:rsidP="00E21D3A">
      <w:pPr>
        <w:pStyle w:val="Nagwek2"/>
      </w:pPr>
      <w:r w:rsidRPr="00CC15A3">
        <w:t xml:space="preserve">W zakresie </w:t>
      </w:r>
      <w:r w:rsidRPr="00854258">
        <w:t>prowadzenia ewidencji sprzedaży</w:t>
      </w:r>
    </w:p>
    <w:p w:rsidR="00E21D3A" w:rsidRDefault="00E21D3A" w:rsidP="00E21D3A">
      <w:pPr>
        <w:pStyle w:val="Akapitzlist"/>
        <w:spacing w:line="360" w:lineRule="auto"/>
        <w:ind w:left="454"/>
        <w:jc w:val="both"/>
      </w:pPr>
      <w:r>
        <w:t xml:space="preserve">Na podstawie wybranych do kontroli miesięcy (sierpień, wrzesień, październik) 2022 r. ustalono, że stosowany przez jednostkę sposób oznaczania dokumentów sprzedaży w ewidencji (rejestrach) sprzedaży VAT tj.: FVS (dla sprzedaży fakturowanej), ZSG (dla sprzedaży gotówkowej), ZSK (dla sprzedaży płatnej kartą), ZSP (dla sprzedaży płatnej przelewem) nie został uregulowany w przyjętym przez jednostkę systemie (polityce) rachunkowości. </w:t>
      </w:r>
    </w:p>
    <w:p w:rsidR="00E21D3A" w:rsidRDefault="00E21D3A" w:rsidP="00E21D3A">
      <w:pPr>
        <w:pStyle w:val="Nagwek2"/>
      </w:pPr>
      <w:r w:rsidRPr="00CC15A3">
        <w:t xml:space="preserve">W zakresie </w:t>
      </w:r>
      <w:r w:rsidRPr="00854258">
        <w:t xml:space="preserve">prowadzenia ewidencji zakupów – </w:t>
      </w:r>
      <w:r>
        <w:t>VAT</w:t>
      </w:r>
      <w:r w:rsidRPr="00854258">
        <w:t xml:space="preserve"> naliczony</w:t>
      </w:r>
    </w:p>
    <w:p w:rsidR="00E21D3A" w:rsidRDefault="00E21D3A" w:rsidP="00E21D3A">
      <w:pPr>
        <w:pStyle w:val="Akapitzlist"/>
        <w:numPr>
          <w:ilvl w:val="0"/>
          <w:numId w:val="35"/>
        </w:numPr>
        <w:spacing w:line="360" w:lineRule="auto"/>
        <w:jc w:val="both"/>
      </w:pPr>
      <w:r>
        <w:t>W badanym okresie jednostka odliczała podatek VAT naliczony metodą bezpośrednią (zakup mediów, przeznaczonych do dalszej odsprzedaży w związku z wynajmem pomieszczeń i powierzchni) oraz metodą pośrednią, z zastosowaniem wstępnego prewspółczynnika, ustalonego w wysokości 12%.</w:t>
      </w:r>
    </w:p>
    <w:p w:rsidR="00E21D3A" w:rsidRDefault="00E21D3A" w:rsidP="00E21D3A">
      <w:pPr>
        <w:pStyle w:val="Akapitzlist"/>
        <w:spacing w:line="360" w:lineRule="auto"/>
        <w:ind w:left="454"/>
        <w:jc w:val="both"/>
      </w:pPr>
      <w:r>
        <w:t>Na przykładzie wybranych miesięcy 2022 r. ustalono, że rejestry zakupu zawierały dane dotyczące wszystkich faktur zakupowych, z jakich przysługiwało podatnikowi prawo do odliczenia podatku naliczonego w całości oraz faktury zakupu, w stosunku do których przysługiwało podatnikowi prawo do odliczenia podatku naliczonego jedynie w części (przypis). Kontrola wykazała, że w przypadku faktur zakupowych, w stosunku do których przysługiwało podatnikowi prawo do odliczenia podatku naliczonego jedynie w części, ewidencja zawierała zakupy opodatkowane stawką 0%, związane z czynnościami niepodlegającymi opodatkowaniu VAT oraz takie, od których podatnikowi nie przysługiwało prawo do odliczenia naliczonego podatku np. faktura  nr O/S1/0117070/22 (17.474,88 zł netto + 873,74 zł VAT 5% = 18.348,62 zł brutto) za energię elektryczną została wykazana w rejestrze zakupu za sierpień 2022 r. w trzech pozycjach w następujący sposób:</w:t>
      </w:r>
    </w:p>
    <w:p w:rsidR="00E21D3A" w:rsidRDefault="00E21D3A" w:rsidP="00E21D3A">
      <w:pPr>
        <w:pStyle w:val="Akapitzlist"/>
        <w:numPr>
          <w:ilvl w:val="0"/>
          <w:numId w:val="37"/>
        </w:numPr>
        <w:spacing w:line="360" w:lineRule="auto"/>
        <w:jc w:val="both"/>
      </w:pPr>
      <w:r>
        <w:t xml:space="preserve">poz. 69 rejestru – zakup związany ze sprzedażą opodatkowaną – podstawa opodatkowania 1.073,91 zł, VAT naliczony 5% – 53,71 zł, </w:t>
      </w:r>
    </w:p>
    <w:p w:rsidR="00E21D3A" w:rsidRDefault="00E21D3A" w:rsidP="00E21D3A">
      <w:pPr>
        <w:pStyle w:val="Akapitzlist"/>
        <w:numPr>
          <w:ilvl w:val="0"/>
          <w:numId w:val="37"/>
        </w:numPr>
        <w:spacing w:line="360" w:lineRule="auto"/>
        <w:jc w:val="both"/>
      </w:pPr>
      <w:r>
        <w:t xml:space="preserve">poz. 70 rejestru – zakup związany ze sprzedażą opodatkowaną i niepodlegającą opodatkowaniu – podstawa opodatkowania 16.262,40 zł, VAT naliczony 5% – 813,10 zł oraz zakup związany ze sprzedażą opodatkowaną i niepodlegającą opodatkowaniu – po uwzględnieniu prewspółczynnika 12% podstawa opodatkowania – 1.951,49 zł , VAT naliczony 5% – 97,57 zł, </w:t>
      </w:r>
    </w:p>
    <w:p w:rsidR="00E21D3A" w:rsidRDefault="00E21D3A" w:rsidP="00E21D3A">
      <w:pPr>
        <w:pStyle w:val="Akapitzlist"/>
        <w:numPr>
          <w:ilvl w:val="0"/>
          <w:numId w:val="37"/>
        </w:numPr>
        <w:spacing w:line="360" w:lineRule="auto"/>
        <w:jc w:val="both"/>
      </w:pPr>
      <w:r>
        <w:t xml:space="preserve">poz. 71 rejestru – zakup związany ze sprzedażą nieopodatkowaną – podstawa opodatkowania 138,57 zł, VAT naliczony 5% – 6,93 zł. </w:t>
      </w:r>
    </w:p>
    <w:p w:rsidR="00E21D3A" w:rsidRDefault="00E21D3A" w:rsidP="00E21D3A">
      <w:pPr>
        <w:pStyle w:val="Akapitzlist"/>
        <w:spacing w:line="360" w:lineRule="auto"/>
        <w:ind w:left="454"/>
        <w:jc w:val="both"/>
      </w:pPr>
      <w:r>
        <w:t xml:space="preserve">W rejestrze zakupu za sierpień 2022 r. jednostka zaewidencjonowała ponadto (pod pozycją 76) fakturę nr FA/5759/2022/C dotyczącą zakupu środków ochrony roślin (zakup związany ze sprzedażą opodatkowaną i niepodlegającą opodatkowaniu), zawierającą pozycje opodatkowane podatkiem 23% oraz 0%. Podstawa opodatkowania i podatek VAT zostały wykazane w rejestrze zarówno dla stawki 23%, jak i 0% (w kwotach wynikających z faktury, a także wyliczonych z zastosowaniem prewspółczynnika). </w:t>
      </w:r>
    </w:p>
    <w:p w:rsidR="00E21D3A" w:rsidRDefault="00E21D3A" w:rsidP="00E21D3A">
      <w:pPr>
        <w:pStyle w:val="Akapitzlist"/>
        <w:spacing w:line="360" w:lineRule="auto"/>
        <w:ind w:left="454"/>
        <w:jc w:val="both"/>
      </w:pPr>
      <w:r>
        <w:t xml:space="preserve">Powyższe było niezgodne z pkt 5.1 załącznika do rozporządzenia </w:t>
      </w:r>
      <w:r w:rsidRPr="00D33624">
        <w:t xml:space="preserve">Ministra Finansów, Inwestycji i Rozwoju </w:t>
      </w:r>
      <w:r>
        <w:t xml:space="preserve">z 15 października 2019 r. w sprawie szczegółowego zakresu danych zawartych w deklaracjach podatkowych i w ewidencji w zakresie podatku od towarów i usług </w:t>
      </w:r>
      <w:r w:rsidRPr="00B61421">
        <w:t>(Dz. U. poz. 1988 z późn. zm.)</w:t>
      </w:r>
      <w:r>
        <w:t xml:space="preserve">, zawierającego objaśnienia do deklaracji VAT i ewidencji, z którego wynika, że: </w:t>
      </w:r>
      <w:r w:rsidRPr="00927DE2">
        <w:rPr>
          <w:i/>
        </w:rPr>
        <w:t>w</w:t>
      </w:r>
      <w:r>
        <w:rPr>
          <w:i/>
        </w:rPr>
        <w:t xml:space="preserve"> zakresie danych niezbędnych do </w:t>
      </w:r>
      <w:r w:rsidRPr="00927DE2">
        <w:rPr>
          <w:i/>
        </w:rPr>
        <w:t>obliczenia wysokości podatku naliczonego należy wykazać wyłącznie wartość towarów i usług oraz kwotę podatku naliczon</w:t>
      </w:r>
      <w:r>
        <w:rPr>
          <w:i/>
        </w:rPr>
        <w:t xml:space="preserve">ego </w:t>
      </w:r>
      <w:r w:rsidRPr="009548E1">
        <w:rPr>
          <w:i/>
        </w:rPr>
        <w:t xml:space="preserve">(z uwzględnieniem korekt) </w:t>
      </w:r>
      <w:r>
        <w:rPr>
          <w:i/>
        </w:rPr>
        <w:t xml:space="preserve">w </w:t>
      </w:r>
      <w:r w:rsidRPr="00927DE2">
        <w:rPr>
          <w:i/>
        </w:rPr>
        <w:t>takiej wysokości, w jakiej podatnikowi przysługuje prawo do odliczenia podatku naliczonego od podatku należnego lub zwrot podatku naliczo</w:t>
      </w:r>
      <w:r>
        <w:rPr>
          <w:i/>
        </w:rPr>
        <w:t>nego, na zasadach określonych w </w:t>
      </w:r>
      <w:r w:rsidRPr="00927DE2">
        <w:rPr>
          <w:i/>
        </w:rPr>
        <w:t>przepisach art. 86-92 u</w:t>
      </w:r>
      <w:r>
        <w:rPr>
          <w:i/>
        </w:rPr>
        <w:t xml:space="preserve">stawy, </w:t>
      </w:r>
      <w:r w:rsidRPr="00927DE2">
        <w:rPr>
          <w:i/>
        </w:rPr>
        <w:t>z uwzględnieniem przepisów wykonawczych, w okresie rozliczeniowym, za który jest składana deklaracja</w:t>
      </w:r>
      <w:r>
        <w:t>. Mając na uwadze powyższe, zarówno w rejestrze zakupu, jak i informacji cząstkowej jednostka powinna wykazać wyłącznie kwoty odnoszące się do zakupów, od których podatnik odlicza podatek naliczony.</w:t>
      </w:r>
    </w:p>
    <w:p w:rsidR="00E21D3A" w:rsidRDefault="00E21D3A" w:rsidP="00E21D3A">
      <w:pPr>
        <w:pStyle w:val="Akapitzlist"/>
        <w:spacing w:line="360" w:lineRule="auto"/>
        <w:ind w:left="454"/>
        <w:jc w:val="both"/>
      </w:pPr>
      <w:r>
        <w:t>W informacjach cząstkowych jednostka wykazywała podstawę opodatkowania i VAT naliczony do odliczenia w kwotach pomniejszonych o kwoty pozycji z rejestru dotyczących podatku VAT naliczonego, który nie podlegał odliczeniu, np. w przypadku faktury nr O/S1/0117070/22 w informacji cząstkowej jednostka wykazała VAT naliczony do odliczenia w kwocie 151,28 zł (po odjęciu podatku VAT wykazanego w pozycji 71 rejestru). Natomiast podstawa opodatkowania stawką 0%, wykazana w pozycji 76 rejestru była również uwzględniona w informacji cząstkowej.</w:t>
      </w:r>
    </w:p>
    <w:p w:rsidR="00E21D3A" w:rsidRDefault="00E21D3A" w:rsidP="00E21D3A">
      <w:pPr>
        <w:pStyle w:val="Akapitzlist"/>
        <w:spacing w:line="360" w:lineRule="auto"/>
        <w:ind w:left="454"/>
        <w:jc w:val="both"/>
      </w:pPr>
      <w:r>
        <w:t xml:space="preserve">Mając na uwadze art. 109 ust. 3 ustawy </w:t>
      </w:r>
      <w:r w:rsidRPr="002144D1">
        <w:t>z dnia 11 marca 2004 r. o podatku od towarów i usług</w:t>
      </w:r>
      <w:r>
        <w:t xml:space="preserve">, zgodnie z którym </w:t>
      </w:r>
      <w:r w:rsidRPr="002144D1">
        <w:t xml:space="preserve"> </w:t>
      </w:r>
      <w:r>
        <w:t xml:space="preserve">w ewidencji VAT należy wykazywać dane pozwalające na prawidłowe rozliczenie podatku </w:t>
      </w:r>
      <w:r w:rsidRPr="002144D1">
        <w:t>i sporządzenie informacji podsumowującej</w:t>
      </w:r>
      <w:r>
        <w:t>, w ewidencji VAT, a w konsekwencji również informacjach cząstkowych VAT jednostka nie powinna wykazywać danych (w tym zakupów, od których nie przysługuje podatek do odliczenia, albo go nie ma), które nie mają wpływu na rozliczenie VAT.</w:t>
      </w:r>
    </w:p>
    <w:p w:rsidR="00E21D3A" w:rsidRDefault="00E21D3A" w:rsidP="00E21D3A">
      <w:pPr>
        <w:pStyle w:val="Akapitzlist"/>
        <w:numPr>
          <w:ilvl w:val="0"/>
          <w:numId w:val="35"/>
        </w:numPr>
        <w:spacing w:line="360" w:lineRule="auto"/>
        <w:jc w:val="both"/>
      </w:pPr>
      <w:r>
        <w:t>Jednostka nieprawidłowo wykazała w rejestrze zakupu VAT oraz w informacji cząstkowej VAT za kwiecień 2022 r. wartość bez podatku (netto) oraz podatek VAT naliczony od zakupu środka trwałego o wartości powyżej 15.000 zł</w:t>
      </w:r>
      <w:r>
        <w:rPr>
          <w:rStyle w:val="Odwoanieprzypisudolnego"/>
        </w:rPr>
        <w:footnoteReference w:id="20"/>
      </w:r>
      <w:r>
        <w:t xml:space="preserve">. Wartość netto oraz podatek VAT naliczony do odliczenia w kwotach wyliczonych z uwzględnieniem prewspółczynnika 12%, tj. odpowiednio 1.855,80 zł i 426,83 zł zostały ujęte w rejestrze i wykazane w deklaracji – jako naliczone od nabycia pozostałych towarów i usług, zamiast towarów i usług zaliczanych u podatnika do środków trwałych. Działaniem tym jednostka naruszyła § 5 rozporządzenia z 15 października 2019 r. w sprawie szczegółowego zakresu danych zawartych w deklaracjach podatkowych i w ewidencji w zakresie podatku od towarów i usług, a także nie zastosowała się do przepisu określonego w § 1 ust. 27 Psrp VAT, zgodnie z którym w ewidencji zakupów należy wyodrębnić te faktury, które dotyczą nabywanych środków trwałych. W konsekwencji wykazane przez jednostkę w ewidencji zakupu oraz deklaracji podatkowej za kwiecień 2022 r. dane niezbędne do obliczenia podatku VAT naliczonego tj. wartość bez podatku (netto) oraz wysokość podatku naliczonego z tytułu: </w:t>
      </w:r>
    </w:p>
    <w:p w:rsidR="00E21D3A" w:rsidRDefault="00E21D3A" w:rsidP="00E21D3A">
      <w:pPr>
        <w:pStyle w:val="Akapitzlist"/>
        <w:numPr>
          <w:ilvl w:val="0"/>
          <w:numId w:val="38"/>
        </w:numPr>
        <w:spacing w:line="360" w:lineRule="auto"/>
        <w:ind w:left="851"/>
        <w:jc w:val="both"/>
      </w:pPr>
      <w:r>
        <w:t>nabycia towarów i usług zaliczanych u podatnika do środków trwałych,</w:t>
      </w:r>
    </w:p>
    <w:p w:rsidR="00E21D3A" w:rsidRDefault="00E21D3A" w:rsidP="00E21D3A">
      <w:pPr>
        <w:pStyle w:val="Akapitzlist"/>
        <w:numPr>
          <w:ilvl w:val="0"/>
          <w:numId w:val="38"/>
        </w:numPr>
        <w:spacing w:line="360" w:lineRule="auto"/>
        <w:ind w:left="851"/>
        <w:jc w:val="both"/>
      </w:pPr>
      <w:r>
        <w:t xml:space="preserve">nabycia pozostałych towarów i usług, </w:t>
      </w:r>
    </w:p>
    <w:p w:rsidR="00E21D3A" w:rsidRDefault="00E21D3A" w:rsidP="00E21D3A">
      <w:pPr>
        <w:pStyle w:val="Akapitzlist"/>
        <w:spacing w:line="360" w:lineRule="auto"/>
        <w:ind w:left="454"/>
        <w:jc w:val="both"/>
      </w:pPr>
      <w:r>
        <w:t xml:space="preserve">nie były zgodne z danymi wynikającymi z dowodów źródłowych. </w:t>
      </w:r>
    </w:p>
    <w:p w:rsidR="00E21D3A" w:rsidRDefault="00E21D3A" w:rsidP="00E21D3A">
      <w:pPr>
        <w:pStyle w:val="Akapitzlist"/>
        <w:spacing w:line="360" w:lineRule="auto"/>
        <w:ind w:left="454"/>
        <w:jc w:val="both"/>
      </w:pPr>
      <w:r>
        <w:t>Naliczony z tytułu zakupu ww. środka trwałego podatek VAT jednostka uwzględniła w 5</w:t>
      </w:r>
      <w:r>
        <w:noBreakHyphen/>
        <w:t>letniej korekcie podatku VAT naliczonego, dokonanej w styczniu 2023 r., w związku z ustaleniem wyższego, niż wstępnie zastosowany, rzeczywistego prewspółczynnika na rok 2022 (16%) – korektą za rok 2022 objęto 1/5 podatku VAT.</w:t>
      </w:r>
      <w:r>
        <w:rPr>
          <w:rStyle w:val="Odwoanieprzypisudolnego"/>
        </w:rPr>
        <w:footnoteReference w:id="21"/>
      </w:r>
      <w:r>
        <w:t xml:space="preserve"> </w:t>
      </w:r>
    </w:p>
    <w:p w:rsidR="00E21D3A" w:rsidRDefault="00E21D3A" w:rsidP="00E21D3A">
      <w:pPr>
        <w:pStyle w:val="Akapitzlist"/>
        <w:numPr>
          <w:ilvl w:val="0"/>
          <w:numId w:val="35"/>
        </w:numPr>
        <w:spacing w:line="360" w:lineRule="auto"/>
        <w:jc w:val="both"/>
      </w:pPr>
      <w:r>
        <w:t>W zakresie dokumentowania zakupów ujmowanych w rejestrze zakupu VAT kontrola wykazała, że przyjęty przez jednostkę sposób oznaczania faktur był niewystarczający, gdyż ograniczał się do naniesienia pieczęci o treści:</w:t>
      </w:r>
    </w:p>
    <w:p w:rsidR="00E21D3A" w:rsidRDefault="00E21D3A" w:rsidP="00E21D3A">
      <w:pPr>
        <w:pStyle w:val="Akapitzlist"/>
        <w:spacing w:line="360" w:lineRule="auto"/>
        <w:ind w:left="454"/>
        <w:jc w:val="both"/>
      </w:pPr>
      <w:r>
        <w:t xml:space="preserve"> „Zakup związany ze sprzedażą</w:t>
      </w:r>
    </w:p>
    <w:p w:rsidR="00E21D3A" w:rsidRDefault="00E21D3A" w:rsidP="00E21D3A">
      <w:pPr>
        <w:pStyle w:val="Akapitzlist"/>
        <w:spacing w:line="360" w:lineRule="auto"/>
        <w:ind w:left="454"/>
        <w:jc w:val="both"/>
      </w:pPr>
      <w:r>
        <w:t>Opodatkowaną – A</w:t>
      </w:r>
    </w:p>
    <w:p w:rsidR="00E21D3A" w:rsidRDefault="00E21D3A" w:rsidP="00E21D3A">
      <w:pPr>
        <w:pStyle w:val="Akapitzlist"/>
        <w:spacing w:line="360" w:lineRule="auto"/>
        <w:ind w:left="454"/>
        <w:jc w:val="both"/>
      </w:pPr>
      <w:r>
        <w:t>Mieszaną – C%</w:t>
      </w:r>
    </w:p>
    <w:p w:rsidR="00E21D3A" w:rsidRDefault="00E21D3A" w:rsidP="00E21D3A">
      <w:pPr>
        <w:pStyle w:val="Akapitzlist"/>
        <w:spacing w:line="360" w:lineRule="auto"/>
        <w:ind w:left="454"/>
        <w:jc w:val="both"/>
      </w:pPr>
      <w:r>
        <w:t>Niepodlegającą – D”.</w:t>
      </w:r>
    </w:p>
    <w:p w:rsidR="00E21D3A" w:rsidRDefault="00E21D3A" w:rsidP="00E21D3A">
      <w:pPr>
        <w:pStyle w:val="Akapitzlist"/>
        <w:spacing w:line="360" w:lineRule="auto"/>
        <w:ind w:left="454"/>
        <w:jc w:val="both"/>
      </w:pPr>
      <w:r>
        <w:t>Z treści pieczęci nie wynikało, w jaki sposób powinno się prezentować rodzaj zakupu wynikającego z danego dokumentu – co do zasady, dokonywano skreślenia niepotrzebnych opcji, w jednym przypadku podkreślono wybraną opcję. Pod pieczęcią nie było podpisów. Kontrola wykazała również przypadki błędnego wskazania na ww. pieczęci rodzaju zakupu lub braku jego wskazania.</w:t>
      </w:r>
    </w:p>
    <w:p w:rsidR="00E21D3A" w:rsidRDefault="00E21D3A" w:rsidP="00E21D3A">
      <w:pPr>
        <w:pStyle w:val="Akapitzlist"/>
        <w:spacing w:line="360" w:lineRule="auto"/>
        <w:ind w:left="454"/>
        <w:jc w:val="both"/>
      </w:pPr>
      <w:r>
        <w:t>W celu dostarczenia pełnych danych do prawidłowego sporządzenia rejestru zakupu i informacji cząstkowej oraz ujęcia operacji w księdze rachunkowej w sposób zapewniający jej sprawdzalność (art. 24 ust. 4 ustawy o rachunkowości) dokumenty zakupu powinny zawierać również opis faktury pozwalający na ustalenie czy stanowi ona podstawę do odliczenia podatku VAT naliczonego, a także opis dotyczący odliczeń podatku VAT naliczonego, tj. wskazanie okresu, w którym dokonano odliczenia i kwoty podatku VAT oraz sposobu odliczenia (odliczenie VAT w całości, z wykorzystaniem prewspółczynnika i/lub wskaźnika struktury sprzedaży).</w:t>
      </w:r>
    </w:p>
    <w:p w:rsidR="00E21D3A" w:rsidRDefault="00E21D3A" w:rsidP="00E21D3A">
      <w:pPr>
        <w:pStyle w:val="Akapitzlist"/>
        <w:numPr>
          <w:ilvl w:val="0"/>
          <w:numId w:val="35"/>
        </w:numPr>
        <w:spacing w:line="360" w:lineRule="auto"/>
        <w:jc w:val="both"/>
      </w:pPr>
      <w:r>
        <w:t>Stwierdzono przypadki nieprzestrzegania zapisów przyjętej w drodze zarządzenia nr 16/2017 Dyrektora OSiR z dnia 29.05.2017 r. instrukcji obiegu i kontroli dokumentów księgowych dotyczących obowiązku podpisywania przez Dyrektora jednostki faktur</w:t>
      </w:r>
      <w:r>
        <w:br/>
        <w:t>pod względem merytorycznym w sytuacji, gdy opisu merytorycznego dokonuje inny pracownik, niż kierownik komórki merytorycznej, a także dokonywanie kontroli formalno-rachunkowej przed dokonaniem kontroli merytorycznej. Ponadto dokonywano sprawdzenia i zakwalifikowania dowodów do ujęcia w księgach rachunkowych (dekretacji) przed kontrolą merytoryczną oraz przed kontrolą wstępną głównego księgowego jednostki.</w:t>
      </w:r>
    </w:p>
    <w:p w:rsidR="00E21D3A" w:rsidRDefault="00E21D3A" w:rsidP="00E21D3A">
      <w:pPr>
        <w:pStyle w:val="Nagwek2"/>
      </w:pPr>
      <w:r w:rsidRPr="00CC15A3">
        <w:t xml:space="preserve">W zakresie </w:t>
      </w:r>
      <w:r w:rsidRPr="00854258">
        <w:t xml:space="preserve">ewidencjonowania podatku </w:t>
      </w:r>
      <w:r>
        <w:t>VAT</w:t>
      </w:r>
      <w:r w:rsidRPr="00854258">
        <w:t xml:space="preserve"> naliczonego w księgach rachunkowych</w:t>
      </w:r>
    </w:p>
    <w:p w:rsidR="00E21D3A" w:rsidRDefault="00E21D3A" w:rsidP="00E21D3A">
      <w:pPr>
        <w:pStyle w:val="Akapitzlist"/>
        <w:numPr>
          <w:ilvl w:val="0"/>
          <w:numId w:val="36"/>
        </w:numPr>
        <w:spacing w:line="360" w:lineRule="auto"/>
        <w:jc w:val="both"/>
      </w:pPr>
      <w:r>
        <w:t>Analiza zapisów księgowych w zakresie ewidencji podatku VAT naliczonego wykazała, że jednostka nie przestrzegała zasad ewidencjonowania w księgach rachunkowych podatku VAT, o których mowa w załączniku nr 2 zarządzenia nr 378 Prezydenta Miasta Piotrkowa Trybunalskiego z dnia 15.12.2020 r., w tym obowiązku ewidencjonowania podatku VAT naliczonego wynikającego z faktur zakupowych na kontach analitycznych wg stawek podatkowych utworzonych do konta dotyczącego VAT naliczonego do rozliczenia w bieżącym okresie (225-2-1), VAT naliczonego od zakupu środków trwałych do rozliczenia w bieżącym okresie (225-2-2), VAT naliczonego do rozliczenia w następnym okresie (225-2-3), w szczególności:</w:t>
      </w:r>
    </w:p>
    <w:p w:rsidR="00E21D3A" w:rsidRDefault="00E21D3A" w:rsidP="00E21D3A">
      <w:pPr>
        <w:pStyle w:val="Akapitzlist"/>
        <w:numPr>
          <w:ilvl w:val="0"/>
          <w:numId w:val="39"/>
        </w:numPr>
        <w:spacing w:line="360" w:lineRule="auto"/>
        <w:ind w:left="851"/>
        <w:jc w:val="both"/>
      </w:pPr>
      <w:r>
        <w:t xml:space="preserve">W zakresie podatku VAT naliczonego od nabycia towarów i usług pozostałych do rozliczenia w danym miesiącu, kwotę VAT naliczonego wynikającego z faktur zakupowych, w danym okresie rozliczeniowym jednostka ewidencjonowała na koncie Wn 225-2-1-1 – VAT należny bez podziału, zamiast na kontach 225-2-1 wg stawek podatkowych. Pod datą ostatniego dnia okresu rozliczeniowego, na podstawie polecenia księgowania – PK, jednostka dokonywała przeksięgowań łącznych kwot podatku naliczonego, na podstawie danych z rejestru zakupu, z konta 225-2-1-1 (Ma) na konta: 225-2-1-5, 225-2-1-8 i 225-2-1-23 (Wn), wraz z obustronnym zapisem technicznym Wn i Ma konta 225-2-1-1 (kwota ze znakiem minus), w celu wyczyszczenia obrotów na koncie 225-2-1-1 i uniknięcia podwojenia obrotów na koncie 225-2-1, a następnie salda Ma kont 225-2-1-5, 225-2-1-8 i 225-2-1-23 podlegały przeksięgowaniu na konto 225-2-99 – Rozliczenie VATz jednostką centralną (Wn 225-2-99, Ma 225-2-1). W konsekwencji na podstawie zapisów księgowych nie można było zidentyfikować dokumentów źródłowych dotyczących VAT naliczonego z podziałem na stawki.  </w:t>
      </w:r>
    </w:p>
    <w:p w:rsidR="00E21D3A" w:rsidRDefault="00E21D3A" w:rsidP="00E21D3A">
      <w:pPr>
        <w:pStyle w:val="Akapitzlist"/>
        <w:numPr>
          <w:ilvl w:val="0"/>
          <w:numId w:val="39"/>
        </w:numPr>
        <w:spacing w:line="360" w:lineRule="auto"/>
        <w:ind w:left="851"/>
        <w:jc w:val="both"/>
      </w:pPr>
      <w:r>
        <w:t>Jednostka pomijała ewidencję na kontach dedykowanych poszczególnym stawkom podatku VAT naliczonego do rozliczenia w następnym okresie (225-2-3-5 – Stawka 5%, 225-2-3-8 – Stawka 8%, 225-2-3-23 – Stawka 23%). Zapisów dokonywano na przełomie roku, na podstawie faktur zakupowych grudniowych, do rozliczenia w następnym roku, na koncie 225-2-3-1 – „VAT naliczony przyszłych okresów – bez podziału”. Saldo konta 225-2-3 – „VAT naliczony przyszłych okresów” na dzień bilansowy było równe saldu konta 225-2-3-1. W miesiącu, w którym jednostka nabyła prawo do odliczenia podatku naliczonego (styczniu lub lutym następnego roku) saldo zostało przeksięgowane na podstawie polecenia księgowania – PK z konta 225-2-3-1 (Ma) na konta: 225-2-1-5, 225-2-1-8 i 225-2-1-23 (Wn) – dotyczące VAT naliczonego do rozliczenia w danym okresie, wraz z obustronnym zapisem technicznym Wn i Ma konta 225-2-3-1 (kwota ze znakiem minus), w celu wyczyszczenia obrotów na koncie 225-2-3-1 i uniknięcia podwojenia obrotów na koncie 225-2-3, a następnie salda Ma kont 225-2-1-5, 225-2-1-8 i 225-2-1-23 podlegały przeksięgowaniu na konto 225-2-99 – Rozliczenie VAT z jednostką centralną (Wn-225-2-99, Ma-225-2-1). Tym samym na podstawie zapisów księgowych na koncie rozliczeniowym nie można było zidentyfikować dokumentów źródłowych dotyczących VAT naliczonego z podziałem na stawki.</w:t>
      </w:r>
    </w:p>
    <w:p w:rsidR="00E21D3A" w:rsidRDefault="00E21D3A" w:rsidP="00E21D3A">
      <w:pPr>
        <w:pStyle w:val="Akapitzlist"/>
        <w:numPr>
          <w:ilvl w:val="0"/>
          <w:numId w:val="39"/>
        </w:numPr>
        <w:spacing w:line="360" w:lineRule="auto"/>
        <w:ind w:left="851"/>
        <w:jc w:val="both"/>
      </w:pPr>
      <w:r>
        <w:t>Naliczony przy zastosowaniu prewspółczynnika podatek VAT od zakupu środka trwałego</w:t>
      </w:r>
      <w:r>
        <w:rPr>
          <w:rStyle w:val="Odwoanieprzypisudolnego"/>
        </w:rPr>
        <w:footnoteReference w:id="22"/>
      </w:r>
      <w:r>
        <w:t xml:space="preserve"> na kwotę 19.021,96 zł brutto (w tym VAT naliczony 23% w kwocie 3.556,95 zł) jednostka zaksięgowała na koncie 225-2-1-1 –„VAT naliczony – towary i usługi b. okr. – bez podziału”, czyli na koncie przeznaczonym do ewidencji podatku VAT naliczonego od zakupów innych, niż środki trwałe, zamiast na koncie 225</w:t>
      </w:r>
      <w:r>
        <w:noBreakHyphen/>
        <w:t>2</w:t>
      </w:r>
      <w:r>
        <w:noBreakHyphen/>
        <w:t>2</w:t>
      </w:r>
      <w:r>
        <w:noBreakHyphen/>
        <w:t>23. Pod datą ostatniego dnia miesiąca saldo Wn konta 225-2-1-1 jednostka przeksięgowała na konto ze wskazaniem stawki podatkowej 23% 225-2-1-23 (przeznaczone do ewidencji podatku VAT naliczonego od zakupów innych, niż środki trwałe, ze stawką 23%), z równoczesnym zapisem ujemnym technicznym Wn/Ma na koncie 225-2-1-1. W konsekwencji, mimo zakupu w badanym roku środka trwałego, którego wartość przekraczała 15.000 zł i który został objęty korektą 5</w:t>
      </w:r>
      <w:r>
        <w:noBreakHyphen/>
        <w:t>letnią podatku VAT naliczonego, obroty na koncie 225-2-2 – „</w:t>
      </w:r>
      <w:r w:rsidRPr="004A3A2D">
        <w:t xml:space="preserve">Rozliczenie podatku </w:t>
      </w:r>
      <w:r>
        <w:t>VAT</w:t>
      </w:r>
      <w:r w:rsidRPr="004A3A2D">
        <w:t xml:space="preserve"> naliczonego od nabycia towarów i usług zaliczanych do środków trwałych</w:t>
      </w:r>
      <w:r>
        <w:t>” na koniec 2022 r. wyniosły 0,00 zł.</w:t>
      </w:r>
      <w:r w:rsidRPr="004A3A2D">
        <w:t xml:space="preserve">  </w:t>
      </w:r>
    </w:p>
    <w:p w:rsidR="00E21D3A" w:rsidRDefault="00E21D3A" w:rsidP="00E21D3A">
      <w:pPr>
        <w:pStyle w:val="Akapitzlist"/>
        <w:spacing w:line="360" w:lineRule="auto"/>
        <w:ind w:left="454"/>
        <w:jc w:val="both"/>
      </w:pPr>
      <w:r>
        <w:t xml:space="preserve">Na podstawie art. 24 ust. 1 i 2 ustawy o rachunkowości księgi rachunkowe powinny być prowadzone rzetelnie – dokonane w nich zapisy powinny odzwierciedlać stan rzeczywisty. Ewidencja VAT naliczonego przy użyciu konta bez określonej stawki była nie tylko niezgodna z Psrp VAT, ale także nieuzasadniona, gdyż z faktur wynikało wprost, jaka stawka podatku została zastosowana i powinny one być zaksięgowane </w:t>
      </w:r>
      <w:bookmarkStart w:id="3" w:name="_GoBack"/>
      <w:bookmarkEnd w:id="3"/>
      <w:r>
        <w:t xml:space="preserve">zgodnie z tą stawką, w celu zapewnienia zgodności zapisów ze stanem rzeczywistym i tym samym rzetelności ksiąg. Zapisy księgowe na kontach z podziałem na stawki dokonywane w kwotach łącznych na podstawie PK uniemożliwiają identyfikację dokumentów źródłowych w celu weryfikacji prawidłowości zapisów, gdyż na podstawie zapisów księgowych nie można uzyskać informacji, jaka stawka VAT obowiązywała w przypadku konkretnego zakupu. Taki sposób prowadzenia ksiąg może mieć negatywny wpływ na prawidłowość sporządzenia cząstkowych informacji o podatku od towarów i usług. </w:t>
      </w:r>
    </w:p>
    <w:p w:rsidR="00E21D3A" w:rsidRDefault="00E21D3A" w:rsidP="00E21D3A">
      <w:pPr>
        <w:pStyle w:val="Akapitzlist"/>
        <w:numPr>
          <w:ilvl w:val="0"/>
          <w:numId w:val="36"/>
        </w:numPr>
        <w:spacing w:line="360" w:lineRule="auto"/>
        <w:jc w:val="both"/>
      </w:pPr>
      <w:r>
        <w:t>Treść zapisów księgowych nie była czytelna (np.: powtarzające się opisy operacji o treści: „podatek naliczony 5%” „podatek naliczony 8%” „podatek naliczony 23%”, stosowane zamiennie dla takich samych operacji opisy: „rozliczenie VAT” lub „przeksięgowanie VAT”) i nie pozwalała na identyfikację dokumentów źródłowych, z których wynikały zaksięgowane kwoty podatku VAT, czym naruszono art. 23 ust. 2 pkt 3 i art. 24 ust. 4 pkt 1 ustawy o rachunkowości.</w:t>
      </w:r>
    </w:p>
    <w:p w:rsidR="00E21D3A" w:rsidRDefault="00E21D3A" w:rsidP="00E21D3A">
      <w:pPr>
        <w:pStyle w:val="Akapitzlist"/>
        <w:numPr>
          <w:ilvl w:val="0"/>
          <w:numId w:val="36"/>
        </w:numPr>
        <w:spacing w:line="360" w:lineRule="auto"/>
        <w:jc w:val="both"/>
      </w:pPr>
      <w:r>
        <w:t>Jednostka nie stosowała się do zasad przyjętych w polityce rachunkowości</w:t>
      </w:r>
      <w:r>
        <w:rPr>
          <w:rStyle w:val="Odwoanieprzypisudolnego"/>
        </w:rPr>
        <w:footnoteReference w:id="23"/>
      </w:r>
      <w:r>
        <w:t xml:space="preserve"> dotyczących ujmowania zakupu do kosztów miesiąca, którego dotyczą. Z ustalonego, w ramach przyjętych przez jednostkę uproszczeń, sposobu prowadzenia ksiąg rachunkowych wynikało, że w trakcie roku faktury za zakup towarów i usług obciążają koszty tego miesiąca, w którym wpłynęły oraz do 5 dnia następnego miesiąca. Kontrola wykazała, że w badanym okresie wszystkie faktury za dany miesiąc, które wpłynęły w okresie od pierwszego do piątego dnia miesiąca następnego, jednostka księgowała do następnego miesiąca – w dacie wpływu do jednostki, co było niezgodne z przyjętymi zasadami rachunkowości i skutkowało brakiem możliwości wcześniejszego odliczenia podatku VAT. </w:t>
      </w:r>
    </w:p>
    <w:p w:rsidR="00E21D3A" w:rsidRDefault="00E21D3A" w:rsidP="00E21D3A">
      <w:pPr>
        <w:pStyle w:val="Nagwek2"/>
      </w:pPr>
      <w:r w:rsidRPr="00CC15A3">
        <w:t xml:space="preserve">W celu wyeliminowania wyżej opisanych nieprawidłowości i uchybień oraz uniknięcia powstania ich w przyszłości </w:t>
      </w:r>
      <w:r>
        <w:t>zalecam</w:t>
      </w:r>
      <w:r w:rsidRPr="00CC15A3">
        <w:t>:</w:t>
      </w:r>
    </w:p>
    <w:p w:rsidR="00E21D3A" w:rsidRDefault="00E21D3A" w:rsidP="00E21D3A">
      <w:pPr>
        <w:pStyle w:val="Trepisma"/>
        <w:numPr>
          <w:ilvl w:val="0"/>
          <w:numId w:val="29"/>
        </w:numPr>
        <w:spacing w:before="120" w:after="0" w:line="360" w:lineRule="auto"/>
        <w:ind w:left="567" w:hanging="425"/>
        <w:contextualSpacing w:val="0"/>
      </w:pPr>
      <w:r>
        <w:t>D</w:t>
      </w:r>
      <w:r w:rsidRPr="00A67127">
        <w:t>okonać analizy stanowisk pracy, zaprojektować i wdrożyć strukturę organizacyjną OSIR (regulamin organiz</w:t>
      </w:r>
      <w:r>
        <w:t>acyjny i schemat organizacyjny), zapewnić spójność i </w:t>
      </w:r>
      <w:r w:rsidRPr="00A67127">
        <w:t>zgodność ww. procedur.</w:t>
      </w:r>
    </w:p>
    <w:p w:rsidR="00E21D3A" w:rsidRDefault="00E21D3A" w:rsidP="00E21D3A">
      <w:pPr>
        <w:pStyle w:val="Trepisma"/>
        <w:numPr>
          <w:ilvl w:val="0"/>
          <w:numId w:val="29"/>
        </w:numPr>
        <w:spacing w:before="120" w:after="0" w:line="360" w:lineRule="auto"/>
        <w:ind w:left="567" w:hanging="425"/>
        <w:contextualSpacing w:val="0"/>
      </w:pPr>
      <w:r>
        <w:t xml:space="preserve">Zweryfikować </w:t>
      </w:r>
      <w:r w:rsidRPr="00A67127">
        <w:t>zapis § 14 ust.</w:t>
      </w:r>
      <w:r>
        <w:t xml:space="preserve"> 2 R</w:t>
      </w:r>
      <w:r w:rsidRPr="00A67127">
        <w:t>egulaminu organizacyjnego OS</w:t>
      </w:r>
      <w:r>
        <w:t>i</w:t>
      </w:r>
      <w:r w:rsidRPr="00A67127">
        <w:t>R dotyczący obowiązku zatwierdzania wydatków przez d</w:t>
      </w:r>
      <w:r>
        <w:t>yrektora lub osobę upoważnioną do jego zastępowania łącznie z </w:t>
      </w:r>
      <w:r w:rsidRPr="00A67127">
        <w:t>głównym księgowym i zapewnić zgodność z art. 53 ustawy o finansach publicznych</w:t>
      </w:r>
      <w:r>
        <w:t>,</w:t>
      </w:r>
      <w:r w:rsidRPr="00A67127">
        <w:t xml:space="preserve"> z któr</w:t>
      </w:r>
      <w:r>
        <w:t>ego</w:t>
      </w:r>
      <w:r w:rsidRPr="00A67127">
        <w:t xml:space="preserve"> wynika, że zatwierdzanie dowodów księgowych do zapłaty stanowi kompetencję kierownika jednostki</w:t>
      </w:r>
      <w:r>
        <w:t>.</w:t>
      </w:r>
    </w:p>
    <w:p w:rsidR="00E21D3A" w:rsidRDefault="00E21D3A" w:rsidP="00E21D3A">
      <w:pPr>
        <w:pStyle w:val="Trepisma"/>
        <w:numPr>
          <w:ilvl w:val="0"/>
          <w:numId w:val="29"/>
        </w:numPr>
        <w:spacing w:before="120" w:after="0" w:line="360" w:lineRule="auto"/>
        <w:ind w:left="567" w:hanging="425"/>
        <w:contextualSpacing w:val="0"/>
      </w:pPr>
      <w:r w:rsidRPr="00A67127">
        <w:t>W przypadku udzielania dalszych pełnomocnictw do zastępowania kierownika jednostki w dokumencie wyraźnie wskazać, że upo</w:t>
      </w:r>
      <w:r>
        <w:t>ważnienie dotyczy zastępstwa na </w:t>
      </w:r>
      <w:r w:rsidRPr="00A67127">
        <w:t>czas nieobecności kierownika jednostki oraz wymienić czynności, do których wykonywania pracownik zostaje umocowany. W podstawie prawnej wskazać pełnomocnictwo udzielone kierownikowi jednostki przez organ wykonawczy, w którym powinien być zapis o możliwości udzielania dalszych pełnomocnictw na czas zastępstwa nieobecnego kierownika. Pełnomocn</w:t>
      </w:r>
      <w:r>
        <w:t>ictwo powinno zawierać zapisy o </w:t>
      </w:r>
      <w:r w:rsidRPr="00A67127">
        <w:t xml:space="preserve">okresie jego </w:t>
      </w:r>
      <w:r>
        <w:t>obowiązywania (b</w:t>
      </w:r>
      <w:r w:rsidRPr="00A67127">
        <w:t xml:space="preserve">rzmienie tego zapisu powinno być następujące: Pełnomocnictwo jest ważne do odwołania, nie dłużej niż na czas pełnienia funkcji/zajmowania stanowiska </w:t>
      </w:r>
      <w:r>
        <w:t xml:space="preserve"> – </w:t>
      </w:r>
      <w:r w:rsidRPr="00A67127">
        <w:t>wymienić jakiego).</w:t>
      </w:r>
    </w:p>
    <w:p w:rsidR="00E21D3A" w:rsidRDefault="00E21D3A" w:rsidP="00E21D3A">
      <w:pPr>
        <w:pStyle w:val="Trepisma"/>
        <w:numPr>
          <w:ilvl w:val="0"/>
          <w:numId w:val="29"/>
        </w:numPr>
        <w:spacing w:before="120" w:after="0" w:line="360" w:lineRule="auto"/>
        <w:ind w:left="567" w:hanging="425"/>
        <w:contextualSpacing w:val="0"/>
      </w:pPr>
      <w:r w:rsidRPr="00503D85">
        <w:t>Uaktualnić i uzupełnić obowiązującą politykę rachunkowości</w:t>
      </w:r>
      <w:r>
        <w:t xml:space="preserve"> w celu</w:t>
      </w:r>
      <w:r w:rsidRPr="00503D85">
        <w:t xml:space="preserve"> dos</w:t>
      </w:r>
      <w:r>
        <w:t>tosowania</w:t>
      </w:r>
      <w:r w:rsidRPr="00503D85">
        <w:t xml:space="preserve"> j</w:t>
      </w:r>
      <w:r>
        <w:t>ej</w:t>
      </w:r>
      <w:r w:rsidRPr="00503D85">
        <w:t xml:space="preserve"> do wszystkich wymogów sformułowanych w art.</w:t>
      </w:r>
      <w:r>
        <w:t xml:space="preserve"> </w:t>
      </w:r>
      <w:r w:rsidRPr="00503D85">
        <w:t>10.</w:t>
      </w:r>
      <w:r>
        <w:t xml:space="preserve"> ust. 1 ustawy o rachunkowości.</w:t>
      </w:r>
    </w:p>
    <w:p w:rsidR="00E21D3A" w:rsidRDefault="00E21D3A" w:rsidP="00E21D3A">
      <w:pPr>
        <w:pStyle w:val="Trepisma"/>
        <w:numPr>
          <w:ilvl w:val="0"/>
          <w:numId w:val="29"/>
        </w:numPr>
        <w:spacing w:before="120" w:after="0" w:line="360" w:lineRule="auto"/>
        <w:ind w:left="567" w:hanging="425"/>
        <w:contextualSpacing w:val="0"/>
      </w:pPr>
      <w:r w:rsidRPr="00503D85">
        <w:t xml:space="preserve">W polityce rachunkowości jednoznacznie określić formy przechowywania ksiąg rachunkowych, tj. w postaci wydruków lub </w:t>
      </w:r>
      <w:r>
        <w:t xml:space="preserve">zapisów na </w:t>
      </w:r>
      <w:r w:rsidRPr="00503D85">
        <w:t>informatycznych nośnik</w:t>
      </w:r>
      <w:r>
        <w:t>ach</w:t>
      </w:r>
      <w:r w:rsidRPr="00503D85">
        <w:t xml:space="preserve"> danych, zgodnie z przepisami ustawy o rachunkowości (art. 72)</w:t>
      </w:r>
      <w:r>
        <w:t>.</w:t>
      </w:r>
    </w:p>
    <w:p w:rsidR="00E21D3A" w:rsidRDefault="00E21D3A" w:rsidP="00E21D3A">
      <w:pPr>
        <w:pStyle w:val="Trepisma"/>
        <w:numPr>
          <w:ilvl w:val="0"/>
          <w:numId w:val="29"/>
        </w:numPr>
        <w:spacing w:before="120" w:after="0" w:line="360" w:lineRule="auto"/>
        <w:ind w:left="567" w:hanging="425"/>
        <w:contextualSpacing w:val="0"/>
      </w:pPr>
      <w:r w:rsidRPr="00B7687C">
        <w:t>W polityce rachunkowości określić zasady ewidencji operacji gospodarczych zgodne ze sposobem funkcjonowania kont określonym w załączniku nr 3 do rozporządzenia Ministra Rozwoju i Finansów w sprawie rachunkowości ora</w:t>
      </w:r>
      <w:r>
        <w:t>z ustaleń wynikających z </w:t>
      </w:r>
      <w:r w:rsidRPr="00B7687C">
        <w:t xml:space="preserve">Psrp </w:t>
      </w:r>
      <w:r>
        <w:t>VAT.</w:t>
      </w:r>
    </w:p>
    <w:p w:rsidR="00E21D3A" w:rsidRDefault="00E21D3A" w:rsidP="00E21D3A">
      <w:pPr>
        <w:pStyle w:val="Trepisma"/>
        <w:numPr>
          <w:ilvl w:val="0"/>
          <w:numId w:val="29"/>
        </w:numPr>
        <w:spacing w:before="120" w:after="0" w:line="360" w:lineRule="auto"/>
        <w:ind w:left="567" w:hanging="425"/>
        <w:contextualSpacing w:val="0"/>
      </w:pPr>
      <w:r w:rsidRPr="00B7687C">
        <w:t xml:space="preserve">Zweryfikować plan kont jednostki i dostosować do potrzeb i specyfiki jednostki </w:t>
      </w:r>
      <w:r>
        <w:t>w </w:t>
      </w:r>
      <w:r w:rsidRPr="00B7687C">
        <w:t>sposób nienaruszający zasad funkcjonowania kont określonych w załączniku nr 3  do rozporządzenia Ministra Rozwoju i Finansów w sprawie rachunkowości</w:t>
      </w:r>
      <w:r>
        <w:t>.</w:t>
      </w:r>
    </w:p>
    <w:p w:rsidR="00E21D3A" w:rsidRDefault="00E21D3A" w:rsidP="00E21D3A">
      <w:pPr>
        <w:pStyle w:val="Trepisma"/>
        <w:numPr>
          <w:ilvl w:val="0"/>
          <w:numId w:val="29"/>
        </w:numPr>
        <w:spacing w:before="120" w:after="0" w:line="360" w:lineRule="auto"/>
        <w:ind w:left="567" w:hanging="425"/>
        <w:contextualSpacing w:val="0"/>
      </w:pPr>
      <w:r w:rsidRPr="00B7687C">
        <w:t>Opracować i wprowadzić jednolite zasady sporz</w:t>
      </w:r>
      <w:r>
        <w:t>ądzania, przyjmowania, obiegu i </w:t>
      </w:r>
      <w:r w:rsidRPr="00B7687C">
        <w:t>kontroli wszystkich dokumentów finansowych i księgowych, a także prawnych występujących jednostce w sposób zapewniający właściwy przebieg operacji gospodarczych.</w:t>
      </w:r>
    </w:p>
    <w:p w:rsidR="00E21D3A" w:rsidRDefault="00E21D3A" w:rsidP="00E21D3A">
      <w:pPr>
        <w:pStyle w:val="Trepisma"/>
        <w:numPr>
          <w:ilvl w:val="0"/>
          <w:numId w:val="29"/>
        </w:numPr>
        <w:spacing w:before="120" w:after="0" w:line="360" w:lineRule="auto"/>
        <w:ind w:left="567"/>
        <w:contextualSpacing w:val="0"/>
      </w:pPr>
      <w:r>
        <w:t>Przy ustalaniu prewspółczynnika przestrzegać rozporządzenia Ministra Finansów z </w:t>
      </w:r>
      <w:r w:rsidRPr="00427F15">
        <w:t>dnia 17</w:t>
      </w:r>
      <w:r>
        <w:t xml:space="preserve"> grudnia </w:t>
      </w:r>
      <w:r w:rsidRPr="00427F15">
        <w:t>2015 r. w sprawie sposobu określania zakresu wykorzystywania nabywanych towarów i usług do celów działalności gospodarczej w przypadku niektórych podatników (t.j. Dz. U. z 2021 r. poz. 999).</w:t>
      </w:r>
    </w:p>
    <w:p w:rsidR="00E21D3A" w:rsidRDefault="00E21D3A" w:rsidP="00E21D3A">
      <w:pPr>
        <w:pStyle w:val="Trepisma"/>
        <w:numPr>
          <w:ilvl w:val="0"/>
          <w:numId w:val="29"/>
        </w:numPr>
        <w:spacing w:before="120" w:after="0" w:line="360" w:lineRule="auto"/>
        <w:ind w:left="567" w:hanging="425"/>
        <w:contextualSpacing w:val="0"/>
      </w:pPr>
      <w:r>
        <w:t xml:space="preserve">Przestrzegać zasad dokonywania zapisów na koncie 130 określonych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p>
    <w:p w:rsidR="00E21D3A" w:rsidRPr="00CF1AFF" w:rsidRDefault="00E21D3A" w:rsidP="00E21D3A">
      <w:pPr>
        <w:pStyle w:val="Trepisma"/>
        <w:numPr>
          <w:ilvl w:val="0"/>
          <w:numId w:val="29"/>
        </w:numPr>
        <w:spacing w:before="120" w:after="0" w:line="360" w:lineRule="auto"/>
        <w:ind w:left="567" w:hanging="425"/>
        <w:contextualSpacing w:val="0"/>
      </w:pPr>
      <w:r>
        <w:t>O</w:t>
      </w:r>
      <w:r w:rsidRPr="00D95720">
        <w:t xml:space="preserve">dprowadzać do budżetu Miasta </w:t>
      </w:r>
      <w:r>
        <w:t>wszystkie wykonane do końca roku obrachunkowego</w:t>
      </w:r>
      <w:r w:rsidRPr="00D95720">
        <w:t xml:space="preserve"> dochody, w kwotach wynikających z przyjętej w Mieście metody rozliczania</w:t>
      </w:r>
      <w:r>
        <w:t xml:space="preserve"> podatku VAT.</w:t>
      </w:r>
    </w:p>
    <w:p w:rsidR="00E21D3A" w:rsidRDefault="00E21D3A" w:rsidP="00E21D3A">
      <w:pPr>
        <w:pStyle w:val="Trepisma"/>
        <w:numPr>
          <w:ilvl w:val="0"/>
          <w:numId w:val="29"/>
        </w:numPr>
        <w:spacing w:before="120" w:after="0" w:line="360" w:lineRule="auto"/>
        <w:ind w:left="567" w:hanging="425"/>
        <w:contextualSpacing w:val="0"/>
      </w:pPr>
      <w:r w:rsidRPr="001D526E">
        <w:t>Zapewnić bieżące prowadzenie ksiąg rachunkowych, stosownie do art. 24 ust. 5 ustawy o rachunkowości. Nie dopuszczać do sytuacji, w których sprawozdania sporządzane są na podstawie niezaksięgowanych dokumentów.</w:t>
      </w:r>
    </w:p>
    <w:p w:rsidR="00E21D3A" w:rsidRDefault="00E21D3A" w:rsidP="00E21D3A">
      <w:pPr>
        <w:pStyle w:val="Trepisma"/>
        <w:numPr>
          <w:ilvl w:val="0"/>
          <w:numId w:val="29"/>
        </w:numPr>
        <w:spacing w:before="120" w:after="0" w:line="360" w:lineRule="auto"/>
        <w:ind w:left="567"/>
        <w:contextualSpacing w:val="0"/>
      </w:pPr>
      <w:r>
        <w:t>Przestrzegać zasad dotyczących realizacji przelewów VAT w mechanizmie podzielonej płatności (split payment) oraz ich ewidencji księgowej, a także</w:t>
      </w:r>
      <w:r w:rsidRPr="00D95720">
        <w:t xml:space="preserve"> </w:t>
      </w:r>
      <w:r w:rsidRPr="00427F15">
        <w:t xml:space="preserve">zasad funkcjonowania kont związanych z rozliczeniem </w:t>
      </w:r>
      <w:r>
        <w:t>VAT</w:t>
      </w:r>
      <w:r w:rsidRPr="00427F15">
        <w:t xml:space="preserve"> </w:t>
      </w:r>
      <w:r>
        <w:t xml:space="preserve">określonych </w:t>
      </w:r>
      <w:r w:rsidRPr="00D95720">
        <w:t>w załączniku nr 2</w:t>
      </w:r>
      <w:r>
        <w:t xml:space="preserve"> do Zarządzenia nr 181 Prezydenta Miasta Piotrkowa Trybunalskiego z dnia 28 czerwca 2023 roku w </w:t>
      </w:r>
      <w:r w:rsidRPr="00D95720">
        <w:t>sprawie zasad centralizac</w:t>
      </w:r>
      <w:r>
        <w:t xml:space="preserve">ji rozliczeń podatku od towarów </w:t>
      </w:r>
      <w:r w:rsidRPr="00D95720">
        <w:t xml:space="preserve">i usług </w:t>
      </w:r>
      <w:r>
        <w:t>VAT</w:t>
      </w:r>
      <w:r w:rsidRPr="00D95720">
        <w:t xml:space="preserve"> obowiązujących w Mieście Piotrków Trybunalski</w:t>
      </w:r>
      <w:r>
        <w:t>. Stosowne zapisy dotyczące split payment i</w:t>
      </w:r>
      <w:r w:rsidRPr="00427F15">
        <w:t xml:space="preserve"> </w:t>
      </w:r>
      <w:r>
        <w:t>rozliczania podatku VAT zawrzeć w polityce rachunkowości.</w:t>
      </w:r>
    </w:p>
    <w:p w:rsidR="00E21D3A" w:rsidRDefault="00E21D3A" w:rsidP="00E21D3A">
      <w:pPr>
        <w:pStyle w:val="Trepisma"/>
        <w:numPr>
          <w:ilvl w:val="0"/>
          <w:numId w:val="29"/>
        </w:numPr>
        <w:spacing w:before="120" w:after="0" w:line="360" w:lineRule="auto"/>
        <w:ind w:left="567" w:hanging="425"/>
        <w:contextualSpacing w:val="0"/>
      </w:pPr>
      <w:r w:rsidRPr="007110A8">
        <w:t>W zawieranych umowach najmu oraz umowach o podobnym charakterze wskazywać termin i sposób płatności czynszu.</w:t>
      </w:r>
    </w:p>
    <w:p w:rsidR="00E21D3A" w:rsidRDefault="00E21D3A" w:rsidP="00E21D3A">
      <w:pPr>
        <w:pStyle w:val="Trepisma"/>
        <w:numPr>
          <w:ilvl w:val="0"/>
          <w:numId w:val="29"/>
        </w:numPr>
        <w:spacing w:before="120" w:after="0" w:line="360" w:lineRule="auto"/>
        <w:ind w:left="567" w:hanging="425"/>
        <w:contextualSpacing w:val="0"/>
      </w:pPr>
      <w:r w:rsidRPr="007110A8">
        <w:t xml:space="preserve">Zweryfikować wszystkie obowiązujące umowy najmu  w zakresie zapisów dotyczących stawek podatku </w:t>
      </w:r>
      <w:r>
        <w:t>VAT</w:t>
      </w:r>
      <w:r w:rsidRPr="007110A8">
        <w:t xml:space="preserve"> i zapewnić </w:t>
      </w:r>
      <w:r>
        <w:t xml:space="preserve">ich </w:t>
      </w:r>
      <w:r w:rsidRPr="007110A8">
        <w:t xml:space="preserve">zgodność z przepisami ustawy o </w:t>
      </w:r>
      <w:r>
        <w:t>VAT</w:t>
      </w:r>
      <w:r w:rsidRPr="007110A8">
        <w:t>.</w:t>
      </w:r>
    </w:p>
    <w:p w:rsidR="00E21D3A" w:rsidRDefault="00E21D3A" w:rsidP="00E21D3A">
      <w:pPr>
        <w:pStyle w:val="Trepisma"/>
        <w:numPr>
          <w:ilvl w:val="0"/>
          <w:numId w:val="29"/>
        </w:numPr>
        <w:spacing w:before="120" w:after="0" w:line="360" w:lineRule="auto"/>
        <w:ind w:left="567" w:hanging="425"/>
        <w:contextualSpacing w:val="0"/>
      </w:pPr>
      <w:r w:rsidRPr="007110A8">
        <w:t xml:space="preserve">W przypadku usług najmu rozliczanych w okresach </w:t>
      </w:r>
      <w:r>
        <w:t>miesięcznych, datę sprzedaży na </w:t>
      </w:r>
      <w:r w:rsidRPr="007110A8">
        <w:t xml:space="preserve">fakturach określać zgodnie z art. 19a ust. 3 zdanie pierwsze ustawy o </w:t>
      </w:r>
      <w:r>
        <w:t>VAT.</w:t>
      </w:r>
    </w:p>
    <w:p w:rsidR="00E21D3A" w:rsidRDefault="00E21D3A" w:rsidP="00E21D3A">
      <w:pPr>
        <w:pStyle w:val="Trepisma"/>
        <w:numPr>
          <w:ilvl w:val="0"/>
          <w:numId w:val="29"/>
        </w:numPr>
        <w:spacing w:before="120" w:after="0" w:line="360" w:lineRule="auto"/>
        <w:ind w:left="567" w:hanging="425"/>
        <w:contextualSpacing w:val="0"/>
      </w:pPr>
      <w:r w:rsidRPr="007110A8">
        <w:t xml:space="preserve">Przestrzegać postanowień umowy najmu lokalu przy </w:t>
      </w:r>
      <w:r>
        <w:t xml:space="preserve">al. </w:t>
      </w:r>
      <w:r w:rsidRPr="007110A8">
        <w:t>3 Maja 6B z dnia 02.06.2003</w:t>
      </w:r>
      <w:r>
        <w:t> r.</w:t>
      </w:r>
      <w:r w:rsidRPr="007110A8">
        <w:t xml:space="preserve"> z późniejszymi zmianami dotyczących terminu płatności czynszu </w:t>
      </w:r>
      <w:r>
        <w:t>na </w:t>
      </w:r>
      <w:r w:rsidRPr="007110A8">
        <w:t>fakturze (7 dni).</w:t>
      </w:r>
    </w:p>
    <w:p w:rsidR="00E21D3A" w:rsidRDefault="00E21D3A" w:rsidP="00E21D3A">
      <w:pPr>
        <w:pStyle w:val="Trepisma"/>
        <w:numPr>
          <w:ilvl w:val="0"/>
          <w:numId w:val="29"/>
        </w:numPr>
        <w:spacing w:before="120" w:after="0" w:line="360" w:lineRule="auto"/>
        <w:ind w:left="567" w:hanging="425"/>
        <w:contextualSpacing w:val="0"/>
      </w:pPr>
      <w:r w:rsidRPr="007110A8">
        <w:t>Wzmocnić nadzór nad realizacją umów na zakup usług w postaci jednorazowych wejść, uprawniających do korzystania z krytej pływalni przy ul. Belzackiej 106</w:t>
      </w:r>
      <w:r>
        <w:t>,</w:t>
      </w:r>
      <w:r w:rsidRPr="007110A8">
        <w:t xml:space="preserve">  w celu zapewnienia rozliczenia przedmiotowej usługi na podstawie faktycznej ilości wykorzystanych w danym miesiącu wejść jednorazowych.</w:t>
      </w:r>
      <w:r>
        <w:t xml:space="preserve"> Faktury za korzystanie z </w:t>
      </w:r>
      <w:r w:rsidRPr="007110A8">
        <w:t>krytej pływalni wystawiać zgodnie z ewidencją wejść na pływalnię</w:t>
      </w:r>
      <w:r>
        <w:t>.</w:t>
      </w:r>
    </w:p>
    <w:p w:rsidR="00E21D3A" w:rsidRDefault="00E21D3A" w:rsidP="00E21D3A">
      <w:pPr>
        <w:pStyle w:val="Trepisma"/>
        <w:numPr>
          <w:ilvl w:val="0"/>
          <w:numId w:val="29"/>
        </w:numPr>
        <w:spacing w:before="120" w:after="0" w:line="360" w:lineRule="auto"/>
        <w:ind w:left="567" w:hanging="425"/>
        <w:contextualSpacing w:val="0"/>
      </w:pPr>
      <w:r>
        <w:t xml:space="preserve">Na fakturach sprzedaży właściwie wskazywać nabywcę i odbiorcę usługi. </w:t>
      </w:r>
      <w:r w:rsidRPr="007110A8">
        <w:t xml:space="preserve">Przestrzegać art. 106e ust. 1 pkt 4 i 5 ustawy o </w:t>
      </w:r>
      <w:r>
        <w:t>VAT</w:t>
      </w:r>
      <w:r w:rsidRPr="007110A8">
        <w:t xml:space="preserve"> </w:t>
      </w:r>
      <w:r>
        <w:t>w zakresie wskazywania na fakturach</w:t>
      </w:r>
      <w:r w:rsidRPr="007110A8">
        <w:t xml:space="preserve"> numer</w:t>
      </w:r>
      <w:r>
        <w:t>u</w:t>
      </w:r>
      <w:r w:rsidRPr="007110A8">
        <w:t>, za pomocą którego nabywca towarów lub usług jest zidentyfikowany na potrzeby podatku od wartości dodanej (na fakturze oznaczony jako „NIP nabywcy”).</w:t>
      </w:r>
      <w:r>
        <w:t xml:space="preserve"> </w:t>
      </w:r>
    </w:p>
    <w:p w:rsidR="00E21D3A" w:rsidRDefault="00E21D3A" w:rsidP="00E21D3A">
      <w:pPr>
        <w:pStyle w:val="Trepisma"/>
        <w:numPr>
          <w:ilvl w:val="0"/>
          <w:numId w:val="29"/>
        </w:numPr>
        <w:spacing w:before="120" w:after="0" w:line="360" w:lineRule="auto"/>
        <w:ind w:left="567" w:hanging="425"/>
        <w:contextualSpacing w:val="0"/>
      </w:pPr>
      <w:r w:rsidRPr="003B1A11">
        <w:t>Opracować i wprowadzić do stosowania przepisy związane z użytkowaniem kas fiskalnych</w:t>
      </w:r>
      <w:r>
        <w:t>,</w:t>
      </w:r>
      <w:r w:rsidRPr="003B1A11">
        <w:t xml:space="preserve"> obejmujące co najmniej:</w:t>
      </w:r>
    </w:p>
    <w:p w:rsidR="00E21D3A" w:rsidRDefault="00E21D3A" w:rsidP="00E21D3A">
      <w:pPr>
        <w:pStyle w:val="Trepisma"/>
        <w:numPr>
          <w:ilvl w:val="0"/>
          <w:numId w:val="41"/>
        </w:numPr>
        <w:spacing w:after="0" w:line="360" w:lineRule="auto"/>
        <w:ind w:left="993"/>
        <w:contextualSpacing w:val="0"/>
      </w:pPr>
      <w:r w:rsidRPr="003B1A11">
        <w:t>rodzaj sprzedaży dokonywanej przez jednostkę ewidencjonowanej przy zastosowaniu tych kas,</w:t>
      </w:r>
    </w:p>
    <w:p w:rsidR="00E21D3A" w:rsidRDefault="00E21D3A" w:rsidP="00E21D3A">
      <w:pPr>
        <w:pStyle w:val="Trepisma"/>
        <w:numPr>
          <w:ilvl w:val="0"/>
          <w:numId w:val="41"/>
        </w:numPr>
        <w:spacing w:after="0" w:line="360" w:lineRule="auto"/>
        <w:ind w:left="993"/>
        <w:contextualSpacing w:val="0"/>
      </w:pPr>
      <w:r w:rsidRPr="003B1A11">
        <w:t>wskazanie zwolnień stosowanych przez jednostkę od ewidencjonowania sprzedaży przy zastosowaniu kas,</w:t>
      </w:r>
    </w:p>
    <w:p w:rsidR="00E21D3A" w:rsidRDefault="00E21D3A" w:rsidP="00E21D3A">
      <w:pPr>
        <w:pStyle w:val="Trepisma"/>
        <w:numPr>
          <w:ilvl w:val="0"/>
          <w:numId w:val="41"/>
        </w:numPr>
        <w:spacing w:after="0" w:line="360" w:lineRule="auto"/>
        <w:ind w:left="993"/>
        <w:contextualSpacing w:val="0"/>
      </w:pPr>
      <w:r w:rsidRPr="003B1A11">
        <w:t>sposób obsługi kas rejestrujących, z uwzględnieniem rodzajów i ilości kas rejestrujących stosowanych przez jednostkę oraz osób, komórek organizacyjnych, zobowiązanych do ich używania,</w:t>
      </w:r>
    </w:p>
    <w:p w:rsidR="00E21D3A" w:rsidRDefault="00E21D3A" w:rsidP="00E21D3A">
      <w:pPr>
        <w:pStyle w:val="Trepisma"/>
        <w:numPr>
          <w:ilvl w:val="0"/>
          <w:numId w:val="41"/>
        </w:numPr>
        <w:spacing w:after="0" w:line="360" w:lineRule="auto"/>
        <w:ind w:left="993"/>
        <w:contextualSpacing w:val="0"/>
      </w:pPr>
      <w:r w:rsidRPr="003B1A11">
        <w:t xml:space="preserve">organizację pracy dotyczącą dokumentacji generowanej przy zastosowaniu kas rejestrujących, w tym: </w:t>
      </w:r>
    </w:p>
    <w:p w:rsidR="00E21D3A" w:rsidRDefault="00E21D3A" w:rsidP="00E21D3A">
      <w:pPr>
        <w:pStyle w:val="Trepisma"/>
        <w:numPr>
          <w:ilvl w:val="0"/>
          <w:numId w:val="42"/>
        </w:numPr>
        <w:spacing w:after="0" w:line="360" w:lineRule="auto"/>
        <w:ind w:left="1418"/>
        <w:contextualSpacing w:val="0"/>
      </w:pPr>
      <w:r w:rsidRPr="003B1A11">
        <w:t xml:space="preserve">zasady wydawania paragonów klientom lub faktur emitowanych przy zastosowaniu kas, </w:t>
      </w:r>
    </w:p>
    <w:p w:rsidR="00E21D3A" w:rsidRDefault="00E21D3A" w:rsidP="00E21D3A">
      <w:pPr>
        <w:pStyle w:val="Trepisma"/>
        <w:numPr>
          <w:ilvl w:val="0"/>
          <w:numId w:val="42"/>
        </w:numPr>
        <w:spacing w:after="0" w:line="360" w:lineRule="auto"/>
        <w:ind w:left="1418"/>
        <w:contextualSpacing w:val="0"/>
      </w:pPr>
      <w:r w:rsidRPr="003B1A11">
        <w:t xml:space="preserve">sposób przesyłania nabywcom paragonów fiskalnych wystawionych w postaci elektronicznej, </w:t>
      </w:r>
    </w:p>
    <w:p w:rsidR="00E21D3A" w:rsidRDefault="00E21D3A" w:rsidP="00E21D3A">
      <w:pPr>
        <w:pStyle w:val="Trepisma"/>
        <w:numPr>
          <w:ilvl w:val="0"/>
          <w:numId w:val="42"/>
        </w:numPr>
        <w:spacing w:after="0" w:line="360" w:lineRule="auto"/>
        <w:ind w:left="1418"/>
        <w:contextualSpacing w:val="0"/>
      </w:pPr>
      <w:r w:rsidRPr="003B1A11">
        <w:t>ustalenie czy raporty generowane z kasy online (w tym z kasy wirtualnej) mają być drukowane i przechowywane w formie papierowej czy wy</w:t>
      </w:r>
      <w:r>
        <w:t>łącznie w formie elektronicznej,</w:t>
      </w:r>
      <w:r w:rsidRPr="003B1A11">
        <w:t xml:space="preserve"> </w:t>
      </w:r>
    </w:p>
    <w:p w:rsidR="00E21D3A" w:rsidRDefault="00E21D3A" w:rsidP="00E21D3A">
      <w:pPr>
        <w:pStyle w:val="Trepisma"/>
        <w:numPr>
          <w:ilvl w:val="0"/>
          <w:numId w:val="41"/>
        </w:numPr>
        <w:spacing w:before="120" w:after="0" w:line="360" w:lineRule="auto"/>
        <w:ind w:left="993"/>
        <w:contextualSpacing w:val="0"/>
      </w:pPr>
      <w:r w:rsidRPr="003B1A11">
        <w:t>prawidłowe prowadzenie książek serwisowych kas, w tym wskazanie osoby odpowiedzialnej za kompletność i prawidłowość wpisów dokonywanych w tych książkach.</w:t>
      </w:r>
    </w:p>
    <w:p w:rsidR="00E21D3A" w:rsidRDefault="00E21D3A" w:rsidP="00E21D3A">
      <w:pPr>
        <w:pStyle w:val="Trepisma"/>
        <w:numPr>
          <w:ilvl w:val="0"/>
          <w:numId w:val="29"/>
        </w:numPr>
        <w:spacing w:before="120" w:after="0" w:line="360" w:lineRule="auto"/>
        <w:ind w:left="567" w:hanging="425"/>
        <w:contextualSpacing w:val="0"/>
      </w:pPr>
      <w:r w:rsidRPr="003B1A11">
        <w:t>Wykorzystywać funkcjonalnoś</w:t>
      </w:r>
      <w:r>
        <w:t>ć</w:t>
      </w:r>
      <w:r w:rsidRPr="003B1A11">
        <w:t xml:space="preserve"> użytkowanego </w:t>
      </w:r>
      <w:r>
        <w:t>programu finansowo-księgowego w </w:t>
      </w:r>
      <w:r w:rsidRPr="003B1A11">
        <w:t>celu zautomatyzowania sporządzania raportów kasowych.</w:t>
      </w:r>
    </w:p>
    <w:p w:rsidR="00E21D3A" w:rsidRDefault="00E21D3A" w:rsidP="00E21D3A">
      <w:pPr>
        <w:pStyle w:val="Trepisma"/>
        <w:numPr>
          <w:ilvl w:val="0"/>
          <w:numId w:val="29"/>
        </w:numPr>
        <w:spacing w:before="120" w:after="0" w:line="360" w:lineRule="auto"/>
        <w:ind w:left="567" w:hanging="425"/>
        <w:contextualSpacing w:val="0"/>
      </w:pPr>
      <w:r>
        <w:t xml:space="preserve">Przestrzegać formalnych wymogów, o których mowa w art. 21 ust. 1 pkt 4 i 6 ustawy o rachunkowości w zakresie określenia daty sporządzenia dowodu księgowego stanowiącego podstawę zapisu w księgach oraz sposobu ujęcia go w księgach rachunkowych (dekretacji). </w:t>
      </w:r>
    </w:p>
    <w:p w:rsidR="00E21D3A" w:rsidRDefault="00E21D3A" w:rsidP="00E21D3A">
      <w:pPr>
        <w:pStyle w:val="Trepisma"/>
        <w:numPr>
          <w:ilvl w:val="0"/>
          <w:numId w:val="29"/>
        </w:numPr>
        <w:spacing w:before="120" w:after="0" w:line="360" w:lineRule="auto"/>
        <w:ind w:left="567" w:hanging="425"/>
        <w:contextualSpacing w:val="0"/>
      </w:pPr>
      <w:r>
        <w:t xml:space="preserve">Prowadzić ewidencję zakupu i sporządzać cząstkowe deklaracje VAT zgodnie z rozporządzeniem Ministra Finansów, Inwestycji i Rozwoju z dnia 15 października 2019 r. w sprawie szczegółowego zakresu danych zawartych w deklaracjach podatkowych i w ewidencji w zakresie podatku od towarów i usług oraz Zarządzeniem nr 181 Prezydenta Miasta Piotrkowa Tryb. </w:t>
      </w:r>
      <w:r w:rsidRPr="0007334B">
        <w:t>z dnia 28 czerwca 2023 roku</w:t>
      </w:r>
      <w:r>
        <w:t xml:space="preserve"> w sprawie zasad centralizacji rozliczeń podatku od towarów i usług VAT obowiązujących w Mieście Piotrków Trybunalski (Psrp VAT), w szczególności:</w:t>
      </w:r>
    </w:p>
    <w:p w:rsidR="00E21D3A" w:rsidRDefault="00E21D3A" w:rsidP="00E21D3A">
      <w:pPr>
        <w:pStyle w:val="Trepisma"/>
        <w:numPr>
          <w:ilvl w:val="0"/>
          <w:numId w:val="40"/>
        </w:numPr>
        <w:spacing w:after="0" w:line="360" w:lineRule="auto"/>
        <w:ind w:left="1134"/>
        <w:contextualSpacing w:val="0"/>
      </w:pPr>
      <w:r>
        <w:t>w prowadzonych rejestrach wykazać wyłącznie wartość towarów i usług oraz kwotę podatku naliczonego (z uwzględnieniem korekt) w takiej wysokości, w jakiej podatnikowi przysługuje prawo do odliczenia podatku naliczonego od podatku należnego lub zwrot podatku naliczonego, zgodnie z pkt 5.1 załącznika do rozporządzenia z 15 października 2019 r. w sprawie szczegółowego zakresu danych zawartych w deklaracjach podatkowych i w ewidencji w zakresie podatku od towarów i usług,</w:t>
      </w:r>
    </w:p>
    <w:p w:rsidR="00E21D3A" w:rsidRDefault="00E21D3A" w:rsidP="00E21D3A">
      <w:pPr>
        <w:pStyle w:val="Trepisma"/>
        <w:numPr>
          <w:ilvl w:val="0"/>
          <w:numId w:val="40"/>
        </w:numPr>
        <w:spacing w:after="0" w:line="360" w:lineRule="auto"/>
        <w:ind w:left="1134"/>
        <w:contextualSpacing w:val="0"/>
      </w:pPr>
      <w:r>
        <w:t>w prowadzonej ewidencji zakupów wyodrębnić te faktury, które dotyczą nabywanych środków trwałych, stosownie do przepisu określonego w § 1 ust. 25 Psrp VAT,</w:t>
      </w:r>
    </w:p>
    <w:p w:rsidR="00E21D3A" w:rsidRDefault="00E21D3A" w:rsidP="00E21D3A">
      <w:pPr>
        <w:pStyle w:val="Trepisma"/>
        <w:numPr>
          <w:ilvl w:val="0"/>
          <w:numId w:val="40"/>
        </w:numPr>
        <w:spacing w:after="0" w:line="360" w:lineRule="auto"/>
        <w:ind w:left="1134"/>
        <w:contextualSpacing w:val="0"/>
      </w:pPr>
      <w:r>
        <w:t>w informacjach cząstkowych wykazywać dane niezbędne do obliczenia wysokości podatku naliczonego, określone w § 5 rozporządzenia Ministra Finansów, Inwestycji i Rozwoju z 15 października 2019 r. w sprawie szczegółowego zakresu danych zawartych w deklaracjach podatkowych i w ewidencji w zakresie podatku od towarów i usług.</w:t>
      </w:r>
    </w:p>
    <w:p w:rsidR="00E21D3A" w:rsidRDefault="00E21D3A" w:rsidP="00E21D3A">
      <w:pPr>
        <w:pStyle w:val="Trepisma"/>
        <w:numPr>
          <w:ilvl w:val="0"/>
          <w:numId w:val="29"/>
        </w:numPr>
        <w:spacing w:before="120" w:after="0" w:line="360" w:lineRule="auto"/>
        <w:ind w:left="567" w:hanging="476"/>
        <w:contextualSpacing w:val="0"/>
      </w:pPr>
      <w:r>
        <w:t>Zapewnić, w ramach kontroli merytorycznej, wyczerpujący opis faktur zakupowych, zawierający niezbędne dane do prawidłowego sporządzenia rejestru zakupu i informacji cząstkowej, tj. wskazanie okresu, w którym dokonano odliczenia i kwoty podatku VAT naliczonego oraz wskazanie właściwego rodzaju zakupu i sposobu odliczenia podatku.</w:t>
      </w:r>
    </w:p>
    <w:p w:rsidR="00E21D3A" w:rsidRDefault="00E21D3A" w:rsidP="00E21D3A">
      <w:pPr>
        <w:pStyle w:val="Trepisma"/>
        <w:numPr>
          <w:ilvl w:val="0"/>
          <w:numId w:val="29"/>
        </w:numPr>
        <w:spacing w:before="120" w:after="0" w:line="360" w:lineRule="auto"/>
        <w:ind w:left="567" w:hanging="476"/>
        <w:contextualSpacing w:val="0"/>
      </w:pPr>
      <w:r>
        <w:t>Przestrzegać ustalonych w jednostce wewnętrznych przepisów dotyczących kontroli merytorycznej faktur zakupowych oraz zapewnić właściwy obieg tych dokumentów.</w:t>
      </w:r>
    </w:p>
    <w:p w:rsidR="00E21D3A" w:rsidRDefault="00E21D3A" w:rsidP="00E21D3A">
      <w:pPr>
        <w:pStyle w:val="Trepisma"/>
        <w:numPr>
          <w:ilvl w:val="0"/>
          <w:numId w:val="29"/>
        </w:numPr>
        <w:spacing w:before="120" w:after="0" w:line="360" w:lineRule="auto"/>
        <w:ind w:left="567" w:hanging="476"/>
        <w:contextualSpacing w:val="0"/>
      </w:pPr>
      <w:r>
        <w:t xml:space="preserve">Prowadzić ewidencję księgową dotyczącą podatku VAT należnego i naliczonego na koncie 225 w sposób określony Zarządzeniem Nr 181 Prezydenta Miasta Piotrkowa Trybunalskiego z dnia 28 czerwca 2023 r. w sprawie zasad centralizacji rozliczeń podatku od towarów i usług VAT obowiązujących w Mieście Piotrków Trybunalski. Wyeliminować praktykę dokonywania zapisów na podstawie źródłowych dokumentów zakupowych na kontach analitycznych bez wskazanej stawki podatku VAT. </w:t>
      </w:r>
    </w:p>
    <w:p w:rsidR="00E21D3A" w:rsidRDefault="00E21D3A" w:rsidP="00E21D3A">
      <w:pPr>
        <w:pStyle w:val="Trepisma"/>
        <w:numPr>
          <w:ilvl w:val="0"/>
          <w:numId w:val="29"/>
        </w:numPr>
        <w:spacing w:before="120" w:after="0" w:line="360" w:lineRule="auto"/>
        <w:ind w:left="567" w:hanging="476"/>
        <w:contextualSpacing w:val="0"/>
      </w:pPr>
      <w:r>
        <w:t xml:space="preserve">Zapisów księgowych dokonywać zgodnie z art. 23 ust. 2 pkt 3 ustawy o rachunkowości, w sposób pozwalający na identyfikację dokumentów źródłowych, z których wynikały zaksięgowane kwoty podatku VAT. </w:t>
      </w:r>
    </w:p>
    <w:p w:rsidR="00E21D3A" w:rsidRDefault="00E21D3A" w:rsidP="00E21D3A">
      <w:pPr>
        <w:pStyle w:val="Trepisma"/>
        <w:numPr>
          <w:ilvl w:val="0"/>
          <w:numId w:val="29"/>
        </w:numPr>
        <w:spacing w:before="120" w:after="0" w:line="360" w:lineRule="auto"/>
        <w:ind w:left="567" w:hanging="476"/>
        <w:contextualSpacing w:val="0"/>
      </w:pPr>
      <w:r>
        <w:t>Stosować się do ustalonych w polityce rachunkowości jednostki zasad prowadzenia ksiąg rachunkowych dotyczących ujmowania zakupu do kosztów miesiąca, którego dotyczy, z uwzględnieniem przyjętych w jednostce uproszczeń.</w:t>
      </w:r>
    </w:p>
    <w:p w:rsidR="00E21D3A" w:rsidRDefault="00E21D3A" w:rsidP="00E21D3A">
      <w:pPr>
        <w:pStyle w:val="Trepisma"/>
        <w:numPr>
          <w:ilvl w:val="0"/>
          <w:numId w:val="29"/>
        </w:numPr>
        <w:spacing w:before="120" w:after="0" w:line="360" w:lineRule="auto"/>
        <w:ind w:left="567" w:hanging="476"/>
        <w:contextualSpacing w:val="0"/>
      </w:pPr>
      <w:r w:rsidRPr="00C95592">
        <w:t>Podjąć działania wzmacniające kontrolę zarządczą w celu pełnego urzeczywistnienia, określonego w at. 68 ust.1 ustawy o finansach publicznych, wymogu zapewnienia realizacji celów i zadań kierowanej przez Pana jednostki w sposób zgodny z prawem, efektywny, oszczędny i terminowy</w:t>
      </w:r>
      <w:r>
        <w:t>.</w:t>
      </w:r>
    </w:p>
    <w:p w:rsidR="00E21D3A" w:rsidRDefault="00E21D3A" w:rsidP="00E21D3A">
      <w:pPr>
        <w:pStyle w:val="Trepisma"/>
        <w:spacing w:line="360" w:lineRule="auto"/>
        <w:ind w:left="0"/>
      </w:pPr>
    </w:p>
    <w:p w:rsidR="00E21D3A" w:rsidRPr="00D57960" w:rsidRDefault="00E21D3A" w:rsidP="00E21D3A">
      <w:pPr>
        <w:pStyle w:val="Trepisma"/>
        <w:spacing w:line="360" w:lineRule="auto"/>
        <w:ind w:left="0" w:firstLine="709"/>
      </w:pPr>
      <w:r w:rsidRPr="00771C5C">
        <w:t>Proszę o przesłanie informacji o sposobie wyko</w:t>
      </w:r>
      <w:r>
        <w:t>nania zaleceń pokontrolnych lub </w:t>
      </w:r>
      <w:r w:rsidRPr="00771C5C">
        <w:t>przyczynach ich niewykonania w terminie 14 dni od daty otrzymania niniejszego wystąpienia pokontrolnego.</w:t>
      </w:r>
      <w:r>
        <w:rPr>
          <w:rStyle w:val="Odwoanieprzypisudolnego"/>
        </w:rPr>
        <w:footnoteReference w:id="24"/>
      </w:r>
    </w:p>
    <w:p w:rsidR="00E21D3A" w:rsidRDefault="00E21D3A" w:rsidP="00E21D3A">
      <w:pPr>
        <w:pStyle w:val="Trepisma"/>
        <w:jc w:val="center"/>
        <w:rPr>
          <w:szCs w:val="24"/>
        </w:rPr>
      </w:pPr>
    </w:p>
    <w:p w:rsidR="00E21D3A" w:rsidRPr="00F140BC" w:rsidRDefault="00E21D3A" w:rsidP="00E21D3A">
      <w:pPr>
        <w:pStyle w:val="Trepisma"/>
        <w:rPr>
          <w:szCs w:val="24"/>
        </w:rPr>
      </w:pPr>
    </w:p>
    <w:bookmarkEnd w:id="2"/>
    <w:p w:rsidR="00E21D3A" w:rsidRPr="007D43CC" w:rsidRDefault="00E21D3A" w:rsidP="00E21D3A">
      <w:pPr>
        <w:pStyle w:val="Stanowisko"/>
      </w:pPr>
      <w:r>
        <w:t xml:space="preserve">Z up. Prezydenta Miasta </w:t>
      </w:r>
      <w:r>
        <w:br/>
        <w:t>Piotrkowa Trybunalskiego</w:t>
      </w:r>
    </w:p>
    <w:p w:rsidR="00E21D3A" w:rsidRDefault="00E21D3A" w:rsidP="00E21D3A">
      <w:pPr>
        <w:pStyle w:val="Imiinazwisko"/>
      </w:pPr>
      <w:r>
        <w:t>Włodzimierz Lasek</w:t>
      </w:r>
    </w:p>
    <w:p w:rsidR="00E21D3A" w:rsidRDefault="00E21D3A" w:rsidP="00E21D3A">
      <w:pPr>
        <w:pStyle w:val="Imiinazwisko"/>
      </w:pPr>
      <w:r>
        <w:t>Sekretarz Miasta</w:t>
      </w:r>
    </w:p>
    <w:p w:rsidR="00E21D3A" w:rsidRPr="008B7C45" w:rsidRDefault="00E21D3A" w:rsidP="00E21D3A">
      <w:pPr>
        <w:pStyle w:val="PodpElektr"/>
      </w:pPr>
      <w:bookmarkStart w:id="4" w:name="_Hlk61333654"/>
      <w:r w:rsidRPr="00E511E9">
        <w:t>Dokument podpisany kwalifikowanym podpisem elektronicznym</w:t>
      </w:r>
      <w:bookmarkEnd w:id="4"/>
    </w:p>
    <w:p w:rsidR="00E21D3A" w:rsidRPr="008B7C45" w:rsidRDefault="00E21D3A" w:rsidP="00E21D3A">
      <w:pPr>
        <w:pStyle w:val="Kocwka"/>
      </w:pPr>
    </w:p>
    <w:p w:rsidR="00582836" w:rsidRDefault="00582836"/>
    <w:sectPr w:rsidR="00582836" w:rsidSect="00650FB7">
      <w:footerReference w:type="default" r:id="rId7"/>
      <w:headerReference w:type="first" r:id="rId8"/>
      <w:footerReference w:type="first" r:id="rId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3A" w:rsidRDefault="00E21D3A" w:rsidP="00E21D3A">
      <w:pPr>
        <w:spacing w:after="0" w:line="240" w:lineRule="auto"/>
      </w:pPr>
      <w:r>
        <w:separator/>
      </w:r>
    </w:p>
  </w:endnote>
  <w:endnote w:type="continuationSeparator" w:id="0">
    <w:p w:rsidR="00E21D3A" w:rsidRDefault="00E21D3A" w:rsidP="00E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57746"/>
      <w:docPartObj>
        <w:docPartGallery w:val="Page Numbers (Bottom of Page)"/>
        <w:docPartUnique/>
      </w:docPartObj>
    </w:sdtPr>
    <w:sdtEndPr>
      <w:rPr>
        <w:rFonts w:asciiTheme="majorHAnsi" w:hAnsiTheme="majorHAnsi"/>
        <w:sz w:val="28"/>
        <w:szCs w:val="28"/>
      </w:rPr>
    </w:sdtEndPr>
    <w:sdtContent>
      <w:p w:rsidR="00650FB7" w:rsidRPr="00B5272C" w:rsidRDefault="002511EF" w:rsidP="00650FB7">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sidR="00AB0F38">
          <w:rPr>
            <w:b/>
            <w:noProof/>
          </w:rPr>
          <w:t>5</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sidR="00AB0F38">
          <w:rPr>
            <w:b/>
            <w:noProof/>
          </w:rPr>
          <w:t>5</w:t>
        </w:r>
        <w:r w:rsidRPr="00280B71">
          <w:rPr>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B7" w:rsidRDefault="00AB0F38">
    <w:pPr>
      <w:pStyle w:val="Stopka"/>
    </w:pPr>
  </w:p>
  <w:p w:rsidR="00650FB7" w:rsidRDefault="00AB0F38">
    <w:pPr>
      <w:pStyle w:val="Stopka"/>
    </w:pPr>
  </w:p>
  <w:p w:rsidR="00650FB7" w:rsidRDefault="00AB0F38">
    <w:pPr>
      <w:pStyle w:val="Stopka"/>
    </w:pPr>
  </w:p>
  <w:p w:rsidR="00650FB7" w:rsidRDefault="00AB0F38">
    <w:pPr>
      <w:pStyle w:val="Stopka"/>
    </w:pPr>
  </w:p>
  <w:p w:rsidR="00650FB7" w:rsidRDefault="00AB0F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3A" w:rsidRDefault="00E21D3A" w:rsidP="00E21D3A">
      <w:pPr>
        <w:spacing w:after="0" w:line="240" w:lineRule="auto"/>
      </w:pPr>
      <w:r>
        <w:separator/>
      </w:r>
    </w:p>
  </w:footnote>
  <w:footnote w:type="continuationSeparator" w:id="0">
    <w:p w:rsidR="00E21D3A" w:rsidRDefault="00E21D3A" w:rsidP="00E21D3A">
      <w:pPr>
        <w:spacing w:after="0" w:line="240" w:lineRule="auto"/>
      </w:pPr>
      <w:r>
        <w:continuationSeparator/>
      </w:r>
    </w:p>
  </w:footnote>
  <w:footnote w:id="1">
    <w:p w:rsidR="00E21D3A" w:rsidRDefault="00E21D3A" w:rsidP="00E21D3A">
      <w:pPr>
        <w:pStyle w:val="Tekstprzypisudolnego"/>
        <w:jc w:val="both"/>
      </w:pPr>
      <w:r>
        <w:rPr>
          <w:rStyle w:val="Odwoanieprzypisudolnego"/>
        </w:rPr>
        <w:footnoteRef/>
      </w:r>
      <w:r>
        <w:t xml:space="preserve"> </w:t>
      </w:r>
      <w:r w:rsidRPr="003B1137">
        <w:t>W okresie objętym kontrolą obowiązywało Zarządzenie Nr 378 Prezydenta Miasta Pi</w:t>
      </w:r>
      <w:r>
        <w:t>otrkowa Tryb. z dnia 15.12.2020 </w:t>
      </w:r>
      <w:r w:rsidRPr="003B1137">
        <w:t xml:space="preserve">r. w sprawie zasad centralizacji rozliczeń podatku od towarów i usług </w:t>
      </w:r>
      <w:r>
        <w:t>VAT</w:t>
      </w:r>
      <w:r w:rsidRPr="003B1137">
        <w:t xml:space="preserve"> obowiązujących w Mieście Piotrków Trybunalski. Załącznik nr 1 do zarządzenia stanowił wykaz jednostek budżetowych Miasta objętych skonsolidowanym rozliczeniem podatku </w:t>
      </w:r>
      <w:r>
        <w:t>VAT</w:t>
      </w:r>
      <w:r w:rsidRPr="003B1137">
        <w:t xml:space="preserve">, natomiast w załączniku nr 2 zawarto Procedury scentralizowanego rozliczania podatku </w:t>
      </w:r>
      <w:r>
        <w:t>VAT</w:t>
      </w:r>
      <w:r w:rsidRPr="003B1137">
        <w:t xml:space="preserve"> w Mieście Piotrkowie Trybunalskim (dalej w skrócie Psrp </w:t>
      </w:r>
      <w:r>
        <w:t>VAT</w:t>
      </w:r>
      <w:r w:rsidRPr="003B1137">
        <w:t>).</w:t>
      </w:r>
    </w:p>
  </w:footnote>
  <w:footnote w:id="2">
    <w:p w:rsidR="00E21D3A" w:rsidRDefault="00E21D3A" w:rsidP="00E21D3A">
      <w:pPr>
        <w:pStyle w:val="Tekstprzypisudolnego"/>
      </w:pPr>
      <w:r>
        <w:rPr>
          <w:rStyle w:val="Odwoanieprzypisudolnego"/>
        </w:rPr>
        <w:footnoteRef/>
      </w:r>
      <w:r>
        <w:t xml:space="preserve"> </w:t>
      </w:r>
      <w:r w:rsidRPr="002C2065">
        <w:t xml:space="preserve">Ustawa z dnia 11.03.2004 r. o podatku od towarów i usług (t.j. Dz. U. z 2020 r. poz. 106, ze zm., od 14.04.2021 r. t.j. Dz. U. z 2021 r. poz. 685, ze zm.) – dalej ustawa o </w:t>
      </w:r>
      <w:r>
        <w:t>VAT</w:t>
      </w:r>
      <w:r w:rsidRPr="002C2065">
        <w:t>.</w:t>
      </w:r>
    </w:p>
  </w:footnote>
  <w:footnote w:id="3">
    <w:p w:rsidR="00E21D3A" w:rsidRDefault="00E21D3A" w:rsidP="00E21D3A">
      <w:pPr>
        <w:pStyle w:val="Tekstprzypisudolnego"/>
      </w:pPr>
      <w:r>
        <w:rPr>
          <w:rStyle w:val="Odwoanieprzypisudolnego"/>
        </w:rPr>
        <w:footnoteRef/>
      </w:r>
      <w:r>
        <w:t xml:space="preserve"> </w:t>
      </w:r>
      <w:r w:rsidRPr="002C2065">
        <w:t xml:space="preserve">W tym również </w:t>
      </w:r>
      <w:r w:rsidRPr="00D41A5B">
        <w:t xml:space="preserve">przepisy wykonawcze </w:t>
      </w:r>
      <w:r>
        <w:t xml:space="preserve"> - rozporządzenie</w:t>
      </w:r>
      <w:r w:rsidRPr="002C2065">
        <w:t xml:space="preserve"> Ministra Finansów z dnia 17.12.2015 r. w sprawie sposobu określania zakresu wykorzystywania nabywanych towarów i usług do celów działalności gospodarczej w przypadku niektórych podatników (Dz. U. z 2015 r. poz. 2193 ze zm., od 02.06.2021 r. t.j. Dz. U. z 2021 r. poz. 999) – dalej rozporządzenie MF z dnia 17.12.2015 r.</w:t>
      </w:r>
    </w:p>
  </w:footnote>
  <w:footnote w:id="4">
    <w:p w:rsidR="00E21D3A" w:rsidRDefault="00E21D3A" w:rsidP="00E21D3A">
      <w:pPr>
        <w:pStyle w:val="Tekstprzypisudolnego"/>
      </w:pPr>
      <w:r>
        <w:rPr>
          <w:rStyle w:val="Odwoanieprzypisudolnego"/>
        </w:rPr>
        <w:footnoteRef/>
      </w:r>
      <w:r>
        <w:t xml:space="preserve"> </w:t>
      </w:r>
      <w:r w:rsidRPr="00A67127">
        <w:t xml:space="preserve">Załącznik do Zarządzenia nr 19/2017 Dyrektora </w:t>
      </w:r>
      <w:r>
        <w:t>OSiR</w:t>
      </w:r>
      <w:r w:rsidRPr="00A67127">
        <w:t xml:space="preserve"> z dnia 1 czerwca 2017 r.</w:t>
      </w:r>
      <w:r>
        <w:t xml:space="preserve"> w sprawie wprowadzenia Regulaminu organizacyjnego Ośrodka Sportu i Rekreacji w Piotrkowie Trybunalskim</w:t>
      </w:r>
    </w:p>
  </w:footnote>
  <w:footnote w:id="5">
    <w:p w:rsidR="00E21D3A" w:rsidRDefault="00E21D3A" w:rsidP="00E21D3A">
      <w:pPr>
        <w:pStyle w:val="Tekstprzypisudolnego"/>
      </w:pPr>
      <w:r>
        <w:rPr>
          <w:rStyle w:val="Odwoanieprzypisudolnego"/>
        </w:rPr>
        <w:footnoteRef/>
      </w:r>
      <w:r>
        <w:t xml:space="preserve"> T</w:t>
      </w:r>
      <w:r w:rsidRPr="00F36363">
        <w:t>.j. Dz. U. z 2023 r. poz. 1270 z późn. zm.</w:t>
      </w:r>
    </w:p>
  </w:footnote>
  <w:footnote w:id="6">
    <w:p w:rsidR="00E21D3A" w:rsidRDefault="00E21D3A" w:rsidP="00E21D3A">
      <w:pPr>
        <w:pStyle w:val="Tekstprzypisudolnego"/>
      </w:pPr>
      <w:r>
        <w:rPr>
          <w:rStyle w:val="Odwoanieprzypisudolnego"/>
        </w:rPr>
        <w:footnoteRef/>
      </w:r>
      <w:r>
        <w:t xml:space="preserve"> </w:t>
      </w:r>
      <w:r w:rsidRPr="00503D85">
        <w:t xml:space="preserve">Zarządzenie nr 13/2017 Dyrektora </w:t>
      </w:r>
      <w:r>
        <w:t>OSiR</w:t>
      </w:r>
      <w:r w:rsidRPr="00503D85">
        <w:t xml:space="preserve"> z dnia 28.04.2017</w:t>
      </w:r>
      <w:r>
        <w:t xml:space="preserve"> </w:t>
      </w:r>
      <w:r w:rsidRPr="00503D85">
        <w:t xml:space="preserve">r. </w:t>
      </w:r>
      <w:r>
        <w:t xml:space="preserve">w sprawie </w:t>
      </w:r>
      <w:r w:rsidRPr="00A3464F">
        <w:t>wprowadzenia polityki rachunkowości</w:t>
      </w:r>
    </w:p>
  </w:footnote>
  <w:footnote w:id="7">
    <w:p w:rsidR="00E21D3A" w:rsidRDefault="00E21D3A" w:rsidP="00E21D3A">
      <w:pPr>
        <w:pStyle w:val="Tekstprzypisudolnego"/>
      </w:pPr>
      <w:r>
        <w:rPr>
          <w:rStyle w:val="Odwoanieprzypisudolnego"/>
        </w:rPr>
        <w:footnoteRef/>
      </w:r>
      <w:r>
        <w:t xml:space="preserve"> T</w:t>
      </w:r>
      <w:r w:rsidRPr="00CC76D8">
        <w:t>.j. Dz. U. z 2023 r. poz. 120 z późn. zm.</w:t>
      </w:r>
    </w:p>
  </w:footnote>
  <w:footnote w:id="8">
    <w:p w:rsidR="00E21D3A" w:rsidRDefault="00E21D3A" w:rsidP="00E21D3A">
      <w:pPr>
        <w:pStyle w:val="Tekstprzypisudolnego"/>
      </w:pPr>
      <w:r>
        <w:rPr>
          <w:rStyle w:val="Odwoanieprzypisudolnego"/>
        </w:rPr>
        <w:footnoteRef/>
      </w:r>
      <w:r>
        <w:t xml:space="preserve"> </w:t>
      </w:r>
      <w:r w:rsidRPr="00AA1CA6">
        <w:t>Dochod</w:t>
      </w:r>
      <w:r>
        <w:t>y wykazane w sprawozdaniu Rb-27</w:t>
      </w:r>
      <w:r w:rsidRPr="00AA1CA6">
        <w:t>S z wykonania dochodów budżetowych z</w:t>
      </w:r>
      <w:r>
        <w:t>a okres od początku roku do </w:t>
      </w:r>
      <w:r w:rsidRPr="00AA1CA6">
        <w:t>31</w:t>
      </w:r>
      <w:r>
        <w:t> </w:t>
      </w:r>
      <w:r w:rsidRPr="00AA1CA6">
        <w:t>grudnia 2021 r.</w:t>
      </w:r>
    </w:p>
  </w:footnote>
  <w:footnote w:id="9">
    <w:p w:rsidR="00E21D3A" w:rsidRDefault="00E21D3A" w:rsidP="00E21D3A">
      <w:pPr>
        <w:pStyle w:val="Tekstprzypisudolnego"/>
      </w:pPr>
      <w:r>
        <w:rPr>
          <w:rStyle w:val="Odwoanieprzypisudolnego"/>
        </w:rPr>
        <w:footnoteRef/>
      </w:r>
      <w:r>
        <w:t xml:space="preserve"> </w:t>
      </w:r>
      <w:r w:rsidRPr="009454CE">
        <w:t>Komunikat nr 10 Ministra Finansów z dnia 18 maja 2010 r. w sprawie ogłoszenia uchwały Komitetu Standardów Rachunkowości w sprawie przyjęcia stanowiska Komitetu w sprawie niektórych zasad prowadzenia ksiąg rachunkowych (Dz. Urz. MF z 2010 r. Nr 6, poz. 26).</w:t>
      </w:r>
    </w:p>
  </w:footnote>
  <w:footnote w:id="10">
    <w:p w:rsidR="00E21D3A" w:rsidRDefault="00E21D3A" w:rsidP="00E21D3A">
      <w:pPr>
        <w:pStyle w:val="Tekstprzypisudolnego"/>
      </w:pPr>
      <w:r>
        <w:rPr>
          <w:rStyle w:val="Odwoanieprzypisudolnego"/>
        </w:rPr>
        <w:footnoteRef/>
      </w:r>
      <w:r>
        <w:t xml:space="preserve"> </w:t>
      </w:r>
      <w:r w:rsidRPr="00AA1CA6">
        <w:t>Na fakturach pokwitowanie przez najemcę (pieczątka, podpis) odbioru faktury, daty odbioru faktury brak.</w:t>
      </w:r>
    </w:p>
  </w:footnote>
  <w:footnote w:id="11">
    <w:p w:rsidR="00E21D3A" w:rsidRDefault="00E21D3A" w:rsidP="00E21D3A">
      <w:pPr>
        <w:pStyle w:val="Tekstprzypisudolnego"/>
      </w:pPr>
      <w:r>
        <w:rPr>
          <w:rStyle w:val="Odwoanieprzypisudolnego"/>
        </w:rPr>
        <w:footnoteRef/>
      </w:r>
      <w:r>
        <w:t xml:space="preserve"> Faktura OSIR 0730/2022 - 48 osób x 5,00 zł =240,00 zł brutto; winno być 138 osób x 5,00 zł =690,00 zł brutto,</w:t>
      </w:r>
    </w:p>
    <w:p w:rsidR="00E21D3A" w:rsidRDefault="00E21D3A" w:rsidP="00E21D3A">
      <w:pPr>
        <w:pStyle w:val="Tekstprzypisudolnego"/>
      </w:pPr>
      <w:r>
        <w:t xml:space="preserve"> Faktura OSIR 0821/2022 – 37 osób x 5,00 zł = 185,00 zł brutto, winno być 112 osób x 5,00 zł =560,00 zł brutto.</w:t>
      </w:r>
    </w:p>
  </w:footnote>
  <w:footnote w:id="12">
    <w:p w:rsidR="00E21D3A" w:rsidRDefault="00E21D3A" w:rsidP="00E21D3A">
      <w:pPr>
        <w:pStyle w:val="Tekstprzypisudolnego"/>
      </w:pPr>
      <w:r>
        <w:rPr>
          <w:rStyle w:val="Odwoanieprzypisudolnego"/>
        </w:rPr>
        <w:footnoteRef/>
      </w:r>
      <w:r>
        <w:t xml:space="preserve"> </w:t>
      </w:r>
      <w:r w:rsidRPr="00821D5F">
        <w:t>1) Prywatn</w:t>
      </w:r>
      <w:r>
        <w:t>a</w:t>
      </w:r>
      <w:r w:rsidRPr="00821D5F">
        <w:t xml:space="preserve"> Szkoł</w:t>
      </w:r>
      <w:r>
        <w:t>a</w:t>
      </w:r>
      <w:r w:rsidRPr="00821D5F">
        <w:t xml:space="preserve"> Podstawow</w:t>
      </w:r>
      <w:r>
        <w:t>a</w:t>
      </w:r>
      <w:r w:rsidRPr="00821D5F">
        <w:t xml:space="preserve"> im. Rafała Orlewskiego, 2) Piotrkowsk</w:t>
      </w:r>
      <w:r>
        <w:t>a</w:t>
      </w:r>
      <w:r w:rsidRPr="00821D5F">
        <w:t xml:space="preserve"> Akademi</w:t>
      </w:r>
      <w:r>
        <w:t>a</w:t>
      </w:r>
      <w:r w:rsidRPr="00821D5F">
        <w:t xml:space="preserve"> Sportu.</w:t>
      </w:r>
    </w:p>
  </w:footnote>
  <w:footnote w:id="13">
    <w:p w:rsidR="00E21D3A" w:rsidRDefault="00E21D3A" w:rsidP="00E21D3A">
      <w:pPr>
        <w:pStyle w:val="Tekstprzypisudolnego"/>
      </w:pPr>
      <w:r>
        <w:rPr>
          <w:rStyle w:val="Odwoanieprzypisudolnego"/>
        </w:rPr>
        <w:footnoteRef/>
      </w:r>
      <w:r>
        <w:t xml:space="preserve"> NIP należący do osoby fizycznej będącej organem prowadzącym dany podmiot.</w:t>
      </w:r>
    </w:p>
  </w:footnote>
  <w:footnote w:id="14">
    <w:p w:rsidR="00E21D3A" w:rsidRDefault="00E21D3A" w:rsidP="00E21D3A">
      <w:pPr>
        <w:pStyle w:val="Tekstprzypisudolnego"/>
      </w:pPr>
      <w:r>
        <w:rPr>
          <w:rStyle w:val="Odwoanieprzypisudolnego"/>
        </w:rPr>
        <w:footnoteRef/>
      </w:r>
      <w:r>
        <w:t xml:space="preserve"> Raport kasowy dokumentujący</w:t>
      </w:r>
      <w:r w:rsidRPr="00FB58C9">
        <w:t xml:space="preserve"> przepływ środków pieniężnych z wybranego do ko</w:t>
      </w:r>
      <w:r>
        <w:t>ntroli obiektu sportowego tj. z </w:t>
      </w:r>
      <w:r w:rsidRPr="00FB58C9">
        <w:t>Centrum Rekreacyjnego do kasy OSiR (raporty fiskalne z kasy fiskalnej EBN 2101238486 i kwitariusze przychodowe K</w:t>
      </w:r>
      <w:r>
        <w:noBreakHyphen/>
      </w:r>
      <w:r w:rsidRPr="00FB58C9">
        <w:t>103 w okresie od 01.08.2022 r. do 10.08.2022 r.</w:t>
      </w:r>
      <w:r>
        <w:t>)</w:t>
      </w:r>
    </w:p>
  </w:footnote>
  <w:footnote w:id="15">
    <w:p w:rsidR="00E21D3A" w:rsidRDefault="00E21D3A" w:rsidP="00E21D3A">
      <w:pPr>
        <w:pStyle w:val="Tekstprzypisudolnego"/>
      </w:pPr>
      <w:r>
        <w:rPr>
          <w:rStyle w:val="Odwoanieprzypisudolnego"/>
        </w:rPr>
        <w:footnoteRef/>
      </w:r>
      <w:r>
        <w:t xml:space="preserve"> </w:t>
      </w:r>
      <w:r w:rsidRPr="006D5980">
        <w:t>Z przyjętych przez jednostkę zasad rachunkowości wynikało, że konto 234</w:t>
      </w:r>
      <w:r>
        <w:t xml:space="preserve"> –</w:t>
      </w:r>
      <w:r w:rsidRPr="006D5980">
        <w:t>Pozostałe rozrachunki z pracownikami służy do ewidencjonowania należności i zobowiązań wobec pracowników z innych t</w:t>
      </w:r>
      <w:r>
        <w:t>ytułów niż wynagrodzenia, np. z </w:t>
      </w:r>
      <w:r w:rsidRPr="006D5980">
        <w:t>tytułu udzielonych pożyczek z ZFŚS, a także należności od pracowników z tytułu niedoborów i szkód.</w:t>
      </w:r>
    </w:p>
  </w:footnote>
  <w:footnote w:id="16">
    <w:p w:rsidR="00E21D3A" w:rsidRDefault="00E21D3A" w:rsidP="00E21D3A">
      <w:pPr>
        <w:pStyle w:val="Tekstprzypisudolnego"/>
      </w:pPr>
      <w:r>
        <w:rPr>
          <w:rStyle w:val="Odwoanieprzypisudolnego"/>
        </w:rPr>
        <w:footnoteRef/>
      </w:r>
      <w:r>
        <w:t xml:space="preserve"> </w:t>
      </w:r>
      <w:r w:rsidRPr="006D5980">
        <w:t>W tym 976,50 zł brutto - Centrum Rekreacyjne w okresie od 01.08.22 r. do 10.08.22</w:t>
      </w:r>
      <w:r>
        <w:t xml:space="preserve"> </w:t>
      </w:r>
      <w:r w:rsidRPr="006D5980">
        <w:t>r.</w:t>
      </w:r>
    </w:p>
  </w:footnote>
  <w:footnote w:id="17">
    <w:p w:rsidR="00E21D3A" w:rsidRDefault="00E21D3A" w:rsidP="00E21D3A">
      <w:pPr>
        <w:pStyle w:val="Tekstprzypisudolnego"/>
      </w:pPr>
      <w:r>
        <w:rPr>
          <w:rStyle w:val="Odwoanieprzypisudolnego"/>
        </w:rPr>
        <w:footnoteRef/>
      </w:r>
      <w:r>
        <w:t xml:space="preserve"> </w:t>
      </w:r>
      <w:r w:rsidRPr="006D5980">
        <w:t>W tym 904,16 zł netto -</w:t>
      </w:r>
      <w:r>
        <w:t xml:space="preserve"> </w:t>
      </w:r>
      <w:r w:rsidRPr="006D5980">
        <w:t>Centrum Rekreacyjne w okresie od 01.08.22 r. do 10.08.22</w:t>
      </w:r>
      <w:r>
        <w:t xml:space="preserve"> </w:t>
      </w:r>
      <w:r w:rsidRPr="006D5980">
        <w:t>r.</w:t>
      </w:r>
    </w:p>
  </w:footnote>
  <w:footnote w:id="18">
    <w:p w:rsidR="00E21D3A" w:rsidRDefault="00E21D3A" w:rsidP="00E21D3A">
      <w:pPr>
        <w:pStyle w:val="Tekstprzypisudolnego"/>
      </w:pPr>
      <w:r>
        <w:rPr>
          <w:rStyle w:val="Odwoanieprzypisudolnego"/>
        </w:rPr>
        <w:footnoteRef/>
      </w:r>
      <w:r>
        <w:t xml:space="preserve"> </w:t>
      </w:r>
      <w:r w:rsidRPr="006D5980">
        <w:t xml:space="preserve">W tym 72,34 zł </w:t>
      </w:r>
      <w:r>
        <w:t>VAT</w:t>
      </w:r>
      <w:r w:rsidRPr="006D5980">
        <w:t xml:space="preserve"> -</w:t>
      </w:r>
      <w:r>
        <w:t xml:space="preserve"> </w:t>
      </w:r>
      <w:r w:rsidRPr="006D5980">
        <w:t>Centrum Rekreacyjne w okresie od 01.08.22 r. do 10.08.22</w:t>
      </w:r>
      <w:r>
        <w:t xml:space="preserve"> </w:t>
      </w:r>
      <w:r w:rsidRPr="006D5980">
        <w:t>r.</w:t>
      </w:r>
    </w:p>
  </w:footnote>
  <w:footnote w:id="19">
    <w:p w:rsidR="00E21D3A" w:rsidRDefault="00E21D3A" w:rsidP="00E21D3A">
      <w:pPr>
        <w:pStyle w:val="Tekstprzypisudolnego"/>
      </w:pPr>
      <w:r>
        <w:rPr>
          <w:rStyle w:val="Odwoanieprzypisudolnego"/>
        </w:rPr>
        <w:footnoteRef/>
      </w:r>
      <w:r>
        <w:t xml:space="preserve"> 1) D.K. poz. 3473 VIII/22 – RKD 22/100-2/08/2022 od 01.08.22 r. do 10 - 26 442,46 zł brutto, w tym z kas fiskalnych 23 752,46 zł brutto (z kasy fiskalnej w Centrum Rekreacyjnym – 976,50 zł brutto),</w:t>
      </w:r>
    </w:p>
    <w:p w:rsidR="00E21D3A" w:rsidRDefault="00E21D3A" w:rsidP="00E21D3A">
      <w:pPr>
        <w:pStyle w:val="Tekstprzypisudolnego"/>
      </w:pPr>
      <w:r>
        <w:t>2) D.K. poz. 3527 VIII/22 – RKD 23/100-2/08/2022 od 11.08.22 r. do 20.- 20 263,23 zł brutto, w tym z kas fiskalnych 18 825,04 zł brutto (z kasy fiskalnej w Centrum Rekreacyjnym – 712,50 zł brutto),</w:t>
      </w:r>
    </w:p>
    <w:p w:rsidR="00E21D3A" w:rsidRDefault="00E21D3A" w:rsidP="00E21D3A">
      <w:pPr>
        <w:pStyle w:val="Tekstprzypisudolnego"/>
      </w:pPr>
      <w:r>
        <w:t>3) D.K.poz.3590 VIII/22 –RKD 24/100-2/08/2022 od 21.08.22 r. do 31.08.22 r. – 31.031,54 zł brutto, w tym z kas fiskalnych 24.072,04 zł brutto (z kasy fiskalnej Centrum Rekreacyjny – 822,50 zł brutto).</w:t>
      </w:r>
    </w:p>
  </w:footnote>
  <w:footnote w:id="20">
    <w:p w:rsidR="00E21D3A" w:rsidRDefault="00E21D3A" w:rsidP="00E21D3A">
      <w:pPr>
        <w:pStyle w:val="Tekstprzypisudolnego"/>
      </w:pPr>
      <w:r>
        <w:rPr>
          <w:rStyle w:val="Odwoanieprzypisudolnego"/>
        </w:rPr>
        <w:footnoteRef/>
      </w:r>
      <w:r>
        <w:t xml:space="preserve"> F</w:t>
      </w:r>
      <w:r w:rsidRPr="00D33624">
        <w:t xml:space="preserve">aktura nr FA/V/000879/2022/LUP z dnia 25.04.2022 r. dotycząca zakupu zmywarki do posadzek Kärcher na kwotę 19.021,96 zł brutto, w tym </w:t>
      </w:r>
      <w:r>
        <w:t>VAT</w:t>
      </w:r>
      <w:r w:rsidRPr="00D33624">
        <w:t xml:space="preserve"> naliczony 23% w kwocie 3.556,95 zł</w:t>
      </w:r>
      <w:r>
        <w:t>.</w:t>
      </w:r>
    </w:p>
  </w:footnote>
  <w:footnote w:id="21">
    <w:p w:rsidR="00E21D3A" w:rsidRDefault="00E21D3A" w:rsidP="00E21D3A">
      <w:pPr>
        <w:pStyle w:val="Tekstprzypisudolnego"/>
      </w:pPr>
      <w:r>
        <w:rPr>
          <w:rStyle w:val="Odwoanieprzypisudolnego"/>
        </w:rPr>
        <w:footnoteRef/>
      </w:r>
      <w:r>
        <w:t xml:space="preserve"> Kwota korekty: </w:t>
      </w:r>
      <w:r w:rsidRPr="006D5980">
        <w:t xml:space="preserve">3.556,95 zł </w:t>
      </w:r>
      <w:r w:rsidRPr="006D5980">
        <w:rPr>
          <w:vertAlign w:val="subscript"/>
        </w:rPr>
        <w:t xml:space="preserve">(podatek </w:t>
      </w:r>
      <w:r>
        <w:rPr>
          <w:vertAlign w:val="subscript"/>
        </w:rPr>
        <w:t>VAT</w:t>
      </w:r>
      <w:r w:rsidRPr="006D5980">
        <w:rPr>
          <w:vertAlign w:val="subscript"/>
        </w:rPr>
        <w:t xml:space="preserve"> z faktury)</w:t>
      </w:r>
      <w:r w:rsidRPr="006D5980">
        <w:t xml:space="preserve"> : 5 = 711,39 zł · 4% </w:t>
      </w:r>
      <w:r w:rsidRPr="006D5980">
        <w:rPr>
          <w:vertAlign w:val="subscript"/>
        </w:rPr>
        <w:t>(różnica prewspółczynnika wstępnego i rzeczywistego)</w:t>
      </w:r>
      <w:r w:rsidRPr="006D5980">
        <w:t xml:space="preserve"> = 28,46 zł</w:t>
      </w:r>
    </w:p>
  </w:footnote>
  <w:footnote w:id="22">
    <w:p w:rsidR="00E21D3A" w:rsidRDefault="00E21D3A" w:rsidP="00E21D3A">
      <w:pPr>
        <w:pStyle w:val="Tekstprzypisudolnego"/>
      </w:pPr>
      <w:r>
        <w:rPr>
          <w:rStyle w:val="Odwoanieprzypisudolnego"/>
        </w:rPr>
        <w:footnoteRef/>
      </w:r>
      <w:r>
        <w:t xml:space="preserve"> </w:t>
      </w:r>
      <w:r w:rsidRPr="006D5980">
        <w:t>faktura nr FA/V/000879/2022/LUP z dnia 25.04.2022 r. dotycząca zakupu zmywarki do posadzek Kärcher</w:t>
      </w:r>
    </w:p>
  </w:footnote>
  <w:footnote w:id="23">
    <w:p w:rsidR="00E21D3A" w:rsidRDefault="00E21D3A" w:rsidP="00E21D3A">
      <w:pPr>
        <w:pStyle w:val="Tekstprzypisudolnego"/>
      </w:pPr>
      <w:r>
        <w:rPr>
          <w:rStyle w:val="Odwoanieprzypisudolnego"/>
        </w:rPr>
        <w:footnoteRef/>
      </w:r>
      <w:r>
        <w:t xml:space="preserve"> </w:t>
      </w:r>
      <w:r w:rsidRPr="006D5980">
        <w:t>Zarządzenie nr 13/2017 Dyrektora OSiR z dnia 28.04.2017 r. w sprawie wprowadzenia polityki rachunkowości</w:t>
      </w:r>
    </w:p>
  </w:footnote>
  <w:footnote w:id="24">
    <w:p w:rsidR="00E21D3A" w:rsidRPr="00005249" w:rsidRDefault="00E21D3A" w:rsidP="00E21D3A">
      <w:pPr>
        <w:pStyle w:val="Tekstprzypisudolnego"/>
        <w:rPr>
          <w:sz w:val="16"/>
          <w:szCs w:val="16"/>
        </w:rPr>
      </w:pPr>
      <w:r w:rsidRPr="00005249">
        <w:rPr>
          <w:rStyle w:val="Odwoanieprzypisudolnego"/>
        </w:rPr>
        <w:footnoteRef/>
      </w:r>
      <w:r w:rsidRPr="00005249">
        <w:rPr>
          <w:sz w:val="16"/>
          <w:szCs w:val="16"/>
        </w:rPr>
        <w:t xml:space="preserve"> Wzór informacji z realizacji zaleceń pokontrolnych stanowi załącznik nr 2 do Regulaminu przeprowadzania kontroli przez Biuro Kontroli Urzędu Miasta Piotrkowa Trybunalskiego, wprowadzonego Zarządzeniem Nr </w:t>
      </w:r>
      <w:r>
        <w:rPr>
          <w:sz w:val="16"/>
          <w:szCs w:val="16"/>
        </w:rPr>
        <w:t>16</w:t>
      </w:r>
      <w:r w:rsidRPr="00005249">
        <w:rPr>
          <w:sz w:val="16"/>
          <w:szCs w:val="16"/>
        </w:rPr>
        <w:t xml:space="preserve"> Prezydenta Mi</w:t>
      </w:r>
      <w:r>
        <w:rPr>
          <w:sz w:val="16"/>
          <w:szCs w:val="16"/>
        </w:rPr>
        <w:t>asta Piotrkowa Trybunalskiego z </w:t>
      </w:r>
      <w:r w:rsidRPr="00005249">
        <w:rPr>
          <w:sz w:val="16"/>
          <w:szCs w:val="16"/>
        </w:rPr>
        <w:t xml:space="preserve">dnia </w:t>
      </w:r>
      <w:r>
        <w:rPr>
          <w:sz w:val="16"/>
          <w:szCs w:val="16"/>
        </w:rPr>
        <w:t>22</w:t>
      </w:r>
      <w:r w:rsidRPr="00005249">
        <w:rPr>
          <w:sz w:val="16"/>
          <w:szCs w:val="16"/>
        </w:rPr>
        <w:t xml:space="preserve"> </w:t>
      </w:r>
      <w:r>
        <w:rPr>
          <w:sz w:val="16"/>
          <w:szCs w:val="16"/>
        </w:rPr>
        <w:t>stycznia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B7" w:rsidRDefault="002511EF">
    <w:pPr>
      <w:pStyle w:val="Nagwek"/>
    </w:pPr>
    <w:r>
      <w:rPr>
        <w:noProof/>
        <w:lang w:eastAsia="pl-PL"/>
      </w:rPr>
      <w:drawing>
        <wp:anchor distT="0" distB="0" distL="114300" distR="114300" simplePos="0" relativeHeight="251659264" behindDoc="1" locked="0" layoutInCell="1" allowOverlap="1" wp14:anchorId="627C8B08" wp14:editId="5EEE9123">
          <wp:simplePos x="0" y="0"/>
          <wp:positionH relativeFrom="page">
            <wp:align>left</wp:align>
          </wp:positionH>
          <wp:positionV relativeFrom="page">
            <wp:align>top</wp:align>
          </wp:positionV>
          <wp:extent cx="7556400" cy="10692000"/>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FF80390"/>
    <w:lvl w:ilvl="0">
      <w:start w:val="1"/>
      <w:numFmt w:val="decimal"/>
      <w:pStyle w:val="Listanumerowana3"/>
      <w:lvlText w:val="%1."/>
      <w:lvlJc w:val="left"/>
      <w:pPr>
        <w:tabs>
          <w:tab w:val="num" w:pos="926"/>
        </w:tabs>
        <w:ind w:left="926" w:hanging="360"/>
      </w:pPr>
    </w:lvl>
  </w:abstractNum>
  <w:abstractNum w:abstractNumId="1" w15:restartNumberingAfterBreak="0">
    <w:nsid w:val="009F1549"/>
    <w:multiLevelType w:val="multilevel"/>
    <w:tmpl w:val="AB742532"/>
    <w:lvl w:ilvl="0">
      <w:start w:val="1"/>
      <w:numFmt w:val="decimal"/>
      <w:pStyle w:val="Nagwek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854F71"/>
    <w:multiLevelType w:val="multilevel"/>
    <w:tmpl w:val="F3021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ED2D51"/>
    <w:multiLevelType w:val="multilevel"/>
    <w:tmpl w:val="F4560D76"/>
    <w:lvl w:ilvl="0">
      <w:start w:val="1"/>
      <w:numFmt w:val="decimal"/>
      <w:lvlText w:val="%1."/>
      <w:lvlJc w:val="left"/>
      <w:pPr>
        <w:ind w:left="454" w:hanging="454"/>
      </w:pPr>
      <w:rPr>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A0069"/>
    <w:multiLevelType w:val="multilevel"/>
    <w:tmpl w:val="0BB4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3C7A09"/>
    <w:multiLevelType w:val="multilevel"/>
    <w:tmpl w:val="1584C590"/>
    <w:lvl w:ilvl="0">
      <w:start w:val="1"/>
      <w:numFmt w:val="decimal"/>
      <w:pStyle w:val="Nagwek1"/>
      <w:lvlText w:val="%1."/>
      <w:lvlJc w:val="left"/>
      <w:pPr>
        <w:ind w:left="1146" w:hanging="360"/>
      </w:pPr>
    </w:lvl>
    <w:lvl w:ilvl="1">
      <w:start w:val="1"/>
      <w:numFmt w:val="decimal"/>
      <w:isLgl/>
      <w:lvlText w:val="%1.%2."/>
      <w:lvlJc w:val="left"/>
      <w:pPr>
        <w:ind w:left="5399" w:hanging="720"/>
      </w:pPr>
      <w:rPr>
        <w:rFonts w:hint="default"/>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174B5594"/>
    <w:multiLevelType w:val="hybridMultilevel"/>
    <w:tmpl w:val="8182B59E"/>
    <w:lvl w:ilvl="0" w:tplc="DE74BC0A">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D66F1"/>
    <w:multiLevelType w:val="hybridMultilevel"/>
    <w:tmpl w:val="F5148EA0"/>
    <w:lvl w:ilvl="0" w:tplc="DAC43A20">
      <w:start w:val="1"/>
      <w:numFmt w:val="lowerLetter"/>
      <w:lvlText w:val="%1)"/>
      <w:lvlJc w:val="left"/>
      <w:pPr>
        <w:ind w:left="1174" w:hanging="360"/>
      </w:pPr>
    </w:lvl>
    <w:lvl w:ilvl="1" w:tplc="2A7428C0" w:tentative="1">
      <w:start w:val="1"/>
      <w:numFmt w:val="lowerLetter"/>
      <w:lvlText w:val="%2."/>
      <w:lvlJc w:val="left"/>
      <w:pPr>
        <w:ind w:left="1894" w:hanging="360"/>
      </w:pPr>
    </w:lvl>
    <w:lvl w:ilvl="2" w:tplc="CAEAFE6E" w:tentative="1">
      <w:start w:val="1"/>
      <w:numFmt w:val="lowerRoman"/>
      <w:lvlText w:val="%3."/>
      <w:lvlJc w:val="right"/>
      <w:pPr>
        <w:ind w:left="2614" w:hanging="180"/>
      </w:pPr>
    </w:lvl>
    <w:lvl w:ilvl="3" w:tplc="816226BA" w:tentative="1">
      <w:start w:val="1"/>
      <w:numFmt w:val="decimal"/>
      <w:lvlText w:val="%4."/>
      <w:lvlJc w:val="left"/>
      <w:pPr>
        <w:ind w:left="3334" w:hanging="360"/>
      </w:pPr>
    </w:lvl>
    <w:lvl w:ilvl="4" w:tplc="33B647D2" w:tentative="1">
      <w:start w:val="1"/>
      <w:numFmt w:val="lowerLetter"/>
      <w:lvlText w:val="%5."/>
      <w:lvlJc w:val="left"/>
      <w:pPr>
        <w:ind w:left="4054" w:hanging="360"/>
      </w:pPr>
    </w:lvl>
    <w:lvl w:ilvl="5" w:tplc="BC545D0E" w:tentative="1">
      <w:start w:val="1"/>
      <w:numFmt w:val="lowerRoman"/>
      <w:lvlText w:val="%6."/>
      <w:lvlJc w:val="right"/>
      <w:pPr>
        <w:ind w:left="4774" w:hanging="180"/>
      </w:pPr>
    </w:lvl>
    <w:lvl w:ilvl="6" w:tplc="6E24B47C" w:tentative="1">
      <w:start w:val="1"/>
      <w:numFmt w:val="decimal"/>
      <w:lvlText w:val="%7."/>
      <w:lvlJc w:val="left"/>
      <w:pPr>
        <w:ind w:left="5494" w:hanging="360"/>
      </w:pPr>
    </w:lvl>
    <w:lvl w:ilvl="7" w:tplc="A586A942" w:tentative="1">
      <w:start w:val="1"/>
      <w:numFmt w:val="lowerLetter"/>
      <w:lvlText w:val="%8."/>
      <w:lvlJc w:val="left"/>
      <w:pPr>
        <w:ind w:left="6214" w:hanging="360"/>
      </w:pPr>
    </w:lvl>
    <w:lvl w:ilvl="8" w:tplc="B8285602" w:tentative="1">
      <w:start w:val="1"/>
      <w:numFmt w:val="lowerRoman"/>
      <w:lvlText w:val="%9."/>
      <w:lvlJc w:val="right"/>
      <w:pPr>
        <w:ind w:left="6934" w:hanging="180"/>
      </w:pPr>
    </w:lvl>
  </w:abstractNum>
  <w:abstractNum w:abstractNumId="8" w15:restartNumberingAfterBreak="0">
    <w:nsid w:val="1AC06795"/>
    <w:multiLevelType w:val="hybridMultilevel"/>
    <w:tmpl w:val="F94A199A"/>
    <w:lvl w:ilvl="0" w:tplc="0C04435E">
      <w:start w:val="1"/>
      <w:numFmt w:val="lowerLetter"/>
      <w:lvlText w:val="%1)"/>
      <w:lvlJc w:val="left"/>
      <w:pPr>
        <w:ind w:left="1174" w:hanging="360"/>
      </w:pPr>
    </w:lvl>
    <w:lvl w:ilvl="1" w:tplc="F7227DD6">
      <w:start w:val="1"/>
      <w:numFmt w:val="lowerLetter"/>
      <w:lvlText w:val="%2."/>
      <w:lvlJc w:val="left"/>
      <w:pPr>
        <w:ind w:left="1894" w:hanging="360"/>
      </w:pPr>
    </w:lvl>
    <w:lvl w:ilvl="2" w:tplc="E9120624" w:tentative="1">
      <w:start w:val="1"/>
      <w:numFmt w:val="lowerRoman"/>
      <w:lvlText w:val="%3."/>
      <w:lvlJc w:val="right"/>
      <w:pPr>
        <w:ind w:left="2614" w:hanging="180"/>
      </w:pPr>
    </w:lvl>
    <w:lvl w:ilvl="3" w:tplc="E8EC3D76" w:tentative="1">
      <w:start w:val="1"/>
      <w:numFmt w:val="decimal"/>
      <w:lvlText w:val="%4."/>
      <w:lvlJc w:val="left"/>
      <w:pPr>
        <w:ind w:left="3334" w:hanging="360"/>
      </w:pPr>
    </w:lvl>
    <w:lvl w:ilvl="4" w:tplc="437EC238" w:tentative="1">
      <w:start w:val="1"/>
      <w:numFmt w:val="lowerLetter"/>
      <w:lvlText w:val="%5."/>
      <w:lvlJc w:val="left"/>
      <w:pPr>
        <w:ind w:left="4054" w:hanging="360"/>
      </w:pPr>
    </w:lvl>
    <w:lvl w:ilvl="5" w:tplc="700CD984" w:tentative="1">
      <w:start w:val="1"/>
      <w:numFmt w:val="lowerRoman"/>
      <w:lvlText w:val="%6."/>
      <w:lvlJc w:val="right"/>
      <w:pPr>
        <w:ind w:left="4774" w:hanging="180"/>
      </w:pPr>
    </w:lvl>
    <w:lvl w:ilvl="6" w:tplc="4176A89A" w:tentative="1">
      <w:start w:val="1"/>
      <w:numFmt w:val="decimal"/>
      <w:lvlText w:val="%7."/>
      <w:lvlJc w:val="left"/>
      <w:pPr>
        <w:ind w:left="5494" w:hanging="360"/>
      </w:pPr>
    </w:lvl>
    <w:lvl w:ilvl="7" w:tplc="89EA3702" w:tentative="1">
      <w:start w:val="1"/>
      <w:numFmt w:val="lowerLetter"/>
      <w:lvlText w:val="%8."/>
      <w:lvlJc w:val="left"/>
      <w:pPr>
        <w:ind w:left="6214" w:hanging="360"/>
      </w:pPr>
    </w:lvl>
    <w:lvl w:ilvl="8" w:tplc="C53070C4" w:tentative="1">
      <w:start w:val="1"/>
      <w:numFmt w:val="lowerRoman"/>
      <w:lvlText w:val="%9."/>
      <w:lvlJc w:val="right"/>
      <w:pPr>
        <w:ind w:left="6934" w:hanging="180"/>
      </w:pPr>
    </w:lvl>
  </w:abstractNum>
  <w:abstractNum w:abstractNumId="9" w15:restartNumberingAfterBreak="0">
    <w:nsid w:val="1C0F2122"/>
    <w:multiLevelType w:val="hybridMultilevel"/>
    <w:tmpl w:val="BC521628"/>
    <w:lvl w:ilvl="0" w:tplc="71928566">
      <w:start w:val="1"/>
      <w:numFmt w:val="decimal"/>
      <w:lvlText w:val="%1)"/>
      <w:lvlJc w:val="left"/>
      <w:pPr>
        <w:ind w:left="1287" w:hanging="360"/>
      </w:pPr>
    </w:lvl>
    <w:lvl w:ilvl="1" w:tplc="38823756">
      <w:start w:val="1"/>
      <w:numFmt w:val="lowerLetter"/>
      <w:lvlText w:val="%2."/>
      <w:lvlJc w:val="left"/>
      <w:pPr>
        <w:ind w:left="2007" w:hanging="360"/>
      </w:pPr>
    </w:lvl>
    <w:lvl w:ilvl="2" w:tplc="2DEC1EC8" w:tentative="1">
      <w:start w:val="1"/>
      <w:numFmt w:val="lowerRoman"/>
      <w:lvlText w:val="%3."/>
      <w:lvlJc w:val="right"/>
      <w:pPr>
        <w:ind w:left="2727" w:hanging="180"/>
      </w:pPr>
    </w:lvl>
    <w:lvl w:ilvl="3" w:tplc="2488E2BC" w:tentative="1">
      <w:start w:val="1"/>
      <w:numFmt w:val="decimal"/>
      <w:lvlText w:val="%4."/>
      <w:lvlJc w:val="left"/>
      <w:pPr>
        <w:ind w:left="3447" w:hanging="360"/>
      </w:pPr>
    </w:lvl>
    <w:lvl w:ilvl="4" w:tplc="C61CC130" w:tentative="1">
      <w:start w:val="1"/>
      <w:numFmt w:val="lowerLetter"/>
      <w:lvlText w:val="%5."/>
      <w:lvlJc w:val="left"/>
      <w:pPr>
        <w:ind w:left="4167" w:hanging="360"/>
      </w:pPr>
    </w:lvl>
    <w:lvl w:ilvl="5" w:tplc="FCC83A42" w:tentative="1">
      <w:start w:val="1"/>
      <w:numFmt w:val="lowerRoman"/>
      <w:lvlText w:val="%6."/>
      <w:lvlJc w:val="right"/>
      <w:pPr>
        <w:ind w:left="4887" w:hanging="180"/>
      </w:pPr>
    </w:lvl>
    <w:lvl w:ilvl="6" w:tplc="583ECF02" w:tentative="1">
      <w:start w:val="1"/>
      <w:numFmt w:val="decimal"/>
      <w:lvlText w:val="%7."/>
      <w:lvlJc w:val="left"/>
      <w:pPr>
        <w:ind w:left="5607" w:hanging="360"/>
      </w:pPr>
    </w:lvl>
    <w:lvl w:ilvl="7" w:tplc="F86AAFEE" w:tentative="1">
      <w:start w:val="1"/>
      <w:numFmt w:val="lowerLetter"/>
      <w:lvlText w:val="%8."/>
      <w:lvlJc w:val="left"/>
      <w:pPr>
        <w:ind w:left="6327" w:hanging="360"/>
      </w:pPr>
    </w:lvl>
    <w:lvl w:ilvl="8" w:tplc="C73A705C" w:tentative="1">
      <w:start w:val="1"/>
      <w:numFmt w:val="lowerRoman"/>
      <w:lvlText w:val="%9."/>
      <w:lvlJc w:val="right"/>
      <w:pPr>
        <w:ind w:left="7047" w:hanging="180"/>
      </w:pPr>
    </w:lvl>
  </w:abstractNum>
  <w:abstractNum w:abstractNumId="10" w15:restartNumberingAfterBreak="0">
    <w:nsid w:val="1D987C07"/>
    <w:multiLevelType w:val="hybridMultilevel"/>
    <w:tmpl w:val="98406308"/>
    <w:lvl w:ilvl="0" w:tplc="C9B47D64">
      <w:start w:val="1"/>
      <w:numFmt w:val="decimal"/>
      <w:lvlText w:val="Tabela nr %1"/>
      <w:lvlJc w:val="left"/>
      <w:pPr>
        <w:ind w:left="360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15:restartNumberingAfterBreak="0">
    <w:nsid w:val="1E6E0AD3"/>
    <w:multiLevelType w:val="multilevel"/>
    <w:tmpl w:val="F4560D76"/>
    <w:lvl w:ilvl="0">
      <w:start w:val="1"/>
      <w:numFmt w:val="decimal"/>
      <w:lvlText w:val="%1."/>
      <w:lvlJc w:val="left"/>
      <w:pPr>
        <w:ind w:left="454" w:hanging="454"/>
      </w:pPr>
      <w:rPr>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70145"/>
    <w:multiLevelType w:val="multilevel"/>
    <w:tmpl w:val="F4560D76"/>
    <w:lvl w:ilvl="0">
      <w:start w:val="1"/>
      <w:numFmt w:val="decimal"/>
      <w:lvlText w:val="%1."/>
      <w:lvlJc w:val="left"/>
      <w:pPr>
        <w:ind w:left="454" w:hanging="454"/>
      </w:pPr>
      <w:rPr>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E60253"/>
    <w:multiLevelType w:val="hybridMultilevel"/>
    <w:tmpl w:val="9904C50A"/>
    <w:lvl w:ilvl="0" w:tplc="D10EC694">
      <w:start w:val="1"/>
      <w:numFmt w:val="lowerLetter"/>
      <w:lvlText w:val="%1)"/>
      <w:lvlJc w:val="left"/>
      <w:pPr>
        <w:ind w:left="1441" w:hanging="360"/>
      </w:pPr>
    </w:lvl>
    <w:lvl w:ilvl="1" w:tplc="D1BA8582" w:tentative="1">
      <w:start w:val="1"/>
      <w:numFmt w:val="lowerLetter"/>
      <w:lvlText w:val="%2."/>
      <w:lvlJc w:val="left"/>
      <w:pPr>
        <w:ind w:left="2161" w:hanging="360"/>
      </w:pPr>
    </w:lvl>
    <w:lvl w:ilvl="2" w:tplc="47C6EAF0" w:tentative="1">
      <w:start w:val="1"/>
      <w:numFmt w:val="lowerRoman"/>
      <w:lvlText w:val="%3."/>
      <w:lvlJc w:val="right"/>
      <w:pPr>
        <w:ind w:left="2881" w:hanging="180"/>
      </w:pPr>
    </w:lvl>
    <w:lvl w:ilvl="3" w:tplc="A04622E0" w:tentative="1">
      <w:start w:val="1"/>
      <w:numFmt w:val="decimal"/>
      <w:lvlText w:val="%4."/>
      <w:lvlJc w:val="left"/>
      <w:pPr>
        <w:ind w:left="3601" w:hanging="360"/>
      </w:pPr>
    </w:lvl>
    <w:lvl w:ilvl="4" w:tplc="635ACA34" w:tentative="1">
      <w:start w:val="1"/>
      <w:numFmt w:val="lowerLetter"/>
      <w:lvlText w:val="%5."/>
      <w:lvlJc w:val="left"/>
      <w:pPr>
        <w:ind w:left="4321" w:hanging="360"/>
      </w:pPr>
    </w:lvl>
    <w:lvl w:ilvl="5" w:tplc="CFA448A4" w:tentative="1">
      <w:start w:val="1"/>
      <w:numFmt w:val="lowerRoman"/>
      <w:lvlText w:val="%6."/>
      <w:lvlJc w:val="right"/>
      <w:pPr>
        <w:ind w:left="5041" w:hanging="180"/>
      </w:pPr>
    </w:lvl>
    <w:lvl w:ilvl="6" w:tplc="0D78F510" w:tentative="1">
      <w:start w:val="1"/>
      <w:numFmt w:val="decimal"/>
      <w:lvlText w:val="%7."/>
      <w:lvlJc w:val="left"/>
      <w:pPr>
        <w:ind w:left="5761" w:hanging="360"/>
      </w:pPr>
    </w:lvl>
    <w:lvl w:ilvl="7" w:tplc="1AAC792C" w:tentative="1">
      <w:start w:val="1"/>
      <w:numFmt w:val="lowerLetter"/>
      <w:lvlText w:val="%8."/>
      <w:lvlJc w:val="left"/>
      <w:pPr>
        <w:ind w:left="6481" w:hanging="360"/>
      </w:pPr>
    </w:lvl>
    <w:lvl w:ilvl="8" w:tplc="2EB8C932" w:tentative="1">
      <w:start w:val="1"/>
      <w:numFmt w:val="lowerRoman"/>
      <w:lvlText w:val="%9."/>
      <w:lvlJc w:val="right"/>
      <w:pPr>
        <w:ind w:left="7201" w:hanging="180"/>
      </w:pPr>
    </w:lvl>
  </w:abstractNum>
  <w:abstractNum w:abstractNumId="14" w15:restartNumberingAfterBreak="0">
    <w:nsid w:val="24D419E1"/>
    <w:multiLevelType w:val="hybridMultilevel"/>
    <w:tmpl w:val="E7E00388"/>
    <w:lvl w:ilvl="0" w:tplc="EA12792A">
      <w:start w:val="1"/>
      <w:numFmt w:val="bullet"/>
      <w:lvlText w:val=""/>
      <w:lvlJc w:val="left"/>
      <w:pPr>
        <w:ind w:left="1429" w:hanging="360"/>
      </w:pPr>
      <w:rPr>
        <w:rFonts w:ascii="Symbol" w:hAnsi="Symbol" w:hint="default"/>
      </w:rPr>
    </w:lvl>
    <w:lvl w:ilvl="1" w:tplc="9D0EBABE" w:tentative="1">
      <w:start w:val="1"/>
      <w:numFmt w:val="bullet"/>
      <w:lvlText w:val="o"/>
      <w:lvlJc w:val="left"/>
      <w:pPr>
        <w:ind w:left="2149" w:hanging="360"/>
      </w:pPr>
      <w:rPr>
        <w:rFonts w:ascii="Courier New" w:hAnsi="Courier New" w:cs="Courier New" w:hint="default"/>
      </w:rPr>
    </w:lvl>
    <w:lvl w:ilvl="2" w:tplc="B756EC62" w:tentative="1">
      <w:start w:val="1"/>
      <w:numFmt w:val="bullet"/>
      <w:lvlText w:val=""/>
      <w:lvlJc w:val="left"/>
      <w:pPr>
        <w:ind w:left="2869" w:hanging="360"/>
      </w:pPr>
      <w:rPr>
        <w:rFonts w:ascii="Wingdings" w:hAnsi="Wingdings" w:hint="default"/>
      </w:rPr>
    </w:lvl>
    <w:lvl w:ilvl="3" w:tplc="090EB488" w:tentative="1">
      <w:start w:val="1"/>
      <w:numFmt w:val="bullet"/>
      <w:lvlText w:val=""/>
      <w:lvlJc w:val="left"/>
      <w:pPr>
        <w:ind w:left="3589" w:hanging="360"/>
      </w:pPr>
      <w:rPr>
        <w:rFonts w:ascii="Symbol" w:hAnsi="Symbol" w:hint="default"/>
      </w:rPr>
    </w:lvl>
    <w:lvl w:ilvl="4" w:tplc="57107E76" w:tentative="1">
      <w:start w:val="1"/>
      <w:numFmt w:val="bullet"/>
      <w:lvlText w:val="o"/>
      <w:lvlJc w:val="left"/>
      <w:pPr>
        <w:ind w:left="4309" w:hanging="360"/>
      </w:pPr>
      <w:rPr>
        <w:rFonts w:ascii="Courier New" w:hAnsi="Courier New" w:cs="Courier New" w:hint="default"/>
      </w:rPr>
    </w:lvl>
    <w:lvl w:ilvl="5" w:tplc="DFD6BE8E" w:tentative="1">
      <w:start w:val="1"/>
      <w:numFmt w:val="bullet"/>
      <w:lvlText w:val=""/>
      <w:lvlJc w:val="left"/>
      <w:pPr>
        <w:ind w:left="5029" w:hanging="360"/>
      </w:pPr>
      <w:rPr>
        <w:rFonts w:ascii="Wingdings" w:hAnsi="Wingdings" w:hint="default"/>
      </w:rPr>
    </w:lvl>
    <w:lvl w:ilvl="6" w:tplc="FC783E88" w:tentative="1">
      <w:start w:val="1"/>
      <w:numFmt w:val="bullet"/>
      <w:lvlText w:val=""/>
      <w:lvlJc w:val="left"/>
      <w:pPr>
        <w:ind w:left="5749" w:hanging="360"/>
      </w:pPr>
      <w:rPr>
        <w:rFonts w:ascii="Symbol" w:hAnsi="Symbol" w:hint="default"/>
      </w:rPr>
    </w:lvl>
    <w:lvl w:ilvl="7" w:tplc="5CF45326" w:tentative="1">
      <w:start w:val="1"/>
      <w:numFmt w:val="bullet"/>
      <w:lvlText w:val="o"/>
      <w:lvlJc w:val="left"/>
      <w:pPr>
        <w:ind w:left="6469" w:hanging="360"/>
      </w:pPr>
      <w:rPr>
        <w:rFonts w:ascii="Courier New" w:hAnsi="Courier New" w:cs="Courier New" w:hint="default"/>
      </w:rPr>
    </w:lvl>
    <w:lvl w:ilvl="8" w:tplc="3B16094A" w:tentative="1">
      <w:start w:val="1"/>
      <w:numFmt w:val="bullet"/>
      <w:lvlText w:val=""/>
      <w:lvlJc w:val="left"/>
      <w:pPr>
        <w:ind w:left="7189" w:hanging="360"/>
      </w:pPr>
      <w:rPr>
        <w:rFonts w:ascii="Wingdings" w:hAnsi="Wingdings" w:hint="default"/>
      </w:rPr>
    </w:lvl>
  </w:abstractNum>
  <w:abstractNum w:abstractNumId="15" w15:restartNumberingAfterBreak="0">
    <w:nsid w:val="346846D8"/>
    <w:multiLevelType w:val="multilevel"/>
    <w:tmpl w:val="35D47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1E10E6"/>
    <w:multiLevelType w:val="multilevel"/>
    <w:tmpl w:val="F4560D76"/>
    <w:lvl w:ilvl="0">
      <w:start w:val="1"/>
      <w:numFmt w:val="decimal"/>
      <w:lvlText w:val="%1."/>
      <w:lvlJc w:val="left"/>
      <w:pPr>
        <w:ind w:left="454" w:hanging="454"/>
      </w:pPr>
      <w:rPr>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0D79EB"/>
    <w:multiLevelType w:val="hybridMultilevel"/>
    <w:tmpl w:val="0C58E988"/>
    <w:lvl w:ilvl="0" w:tplc="FD0A2006">
      <w:start w:val="1"/>
      <w:numFmt w:val="decimal"/>
      <w:lvlText w:val="%1."/>
      <w:lvlJc w:val="left"/>
      <w:pPr>
        <w:ind w:left="902" w:hanging="334"/>
      </w:pPr>
      <w:rPr>
        <w:rFonts w:hint="default"/>
      </w:rPr>
    </w:lvl>
    <w:lvl w:ilvl="1" w:tplc="E5569C42">
      <w:start w:val="1"/>
      <w:numFmt w:val="decimal"/>
      <w:lvlText w:val="%2)"/>
      <w:lvlJc w:val="left"/>
      <w:pPr>
        <w:ind w:left="1879" w:hanging="450"/>
      </w:pPr>
      <w:rPr>
        <w:rFonts w:hint="default"/>
      </w:rPr>
    </w:lvl>
    <w:lvl w:ilvl="2" w:tplc="F912ACB0" w:tentative="1">
      <w:start w:val="1"/>
      <w:numFmt w:val="lowerRoman"/>
      <w:lvlText w:val="%3."/>
      <w:lvlJc w:val="right"/>
      <w:pPr>
        <w:ind w:left="2509" w:hanging="180"/>
      </w:pPr>
    </w:lvl>
    <w:lvl w:ilvl="3" w:tplc="4C968A06" w:tentative="1">
      <w:start w:val="1"/>
      <w:numFmt w:val="decimal"/>
      <w:lvlText w:val="%4."/>
      <w:lvlJc w:val="left"/>
      <w:pPr>
        <w:ind w:left="3229" w:hanging="360"/>
      </w:pPr>
    </w:lvl>
    <w:lvl w:ilvl="4" w:tplc="6E005EFA" w:tentative="1">
      <w:start w:val="1"/>
      <w:numFmt w:val="lowerLetter"/>
      <w:lvlText w:val="%5."/>
      <w:lvlJc w:val="left"/>
      <w:pPr>
        <w:ind w:left="3949" w:hanging="360"/>
      </w:pPr>
    </w:lvl>
    <w:lvl w:ilvl="5" w:tplc="1348291E" w:tentative="1">
      <w:start w:val="1"/>
      <w:numFmt w:val="lowerRoman"/>
      <w:lvlText w:val="%6."/>
      <w:lvlJc w:val="right"/>
      <w:pPr>
        <w:ind w:left="4669" w:hanging="180"/>
      </w:pPr>
    </w:lvl>
    <w:lvl w:ilvl="6" w:tplc="DDA6B1E8" w:tentative="1">
      <w:start w:val="1"/>
      <w:numFmt w:val="decimal"/>
      <w:lvlText w:val="%7."/>
      <w:lvlJc w:val="left"/>
      <w:pPr>
        <w:ind w:left="5389" w:hanging="360"/>
      </w:pPr>
    </w:lvl>
    <w:lvl w:ilvl="7" w:tplc="C3286726" w:tentative="1">
      <w:start w:val="1"/>
      <w:numFmt w:val="lowerLetter"/>
      <w:lvlText w:val="%8."/>
      <w:lvlJc w:val="left"/>
      <w:pPr>
        <w:ind w:left="6109" w:hanging="360"/>
      </w:pPr>
    </w:lvl>
    <w:lvl w:ilvl="8" w:tplc="81BA35D4" w:tentative="1">
      <w:start w:val="1"/>
      <w:numFmt w:val="lowerRoman"/>
      <w:lvlText w:val="%9."/>
      <w:lvlJc w:val="right"/>
      <w:pPr>
        <w:ind w:left="6829" w:hanging="180"/>
      </w:pPr>
    </w:lvl>
  </w:abstractNum>
  <w:abstractNum w:abstractNumId="18" w15:restartNumberingAfterBreak="0">
    <w:nsid w:val="43943E0D"/>
    <w:multiLevelType w:val="hybridMultilevel"/>
    <w:tmpl w:val="99F6D8EA"/>
    <w:lvl w:ilvl="0" w:tplc="3740DC8A">
      <w:start w:val="1"/>
      <w:numFmt w:val="decimal"/>
      <w:pStyle w:val="Tytutabeli"/>
      <w:lvlText w:val="Tabela nr %1"/>
      <w:lvlJc w:val="left"/>
      <w:pPr>
        <w:ind w:left="717"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AE191D"/>
    <w:multiLevelType w:val="hybridMultilevel"/>
    <w:tmpl w:val="48B808E2"/>
    <w:lvl w:ilvl="0" w:tplc="6CA2DFA4">
      <w:start w:val="1"/>
      <w:numFmt w:val="lowerLetter"/>
      <w:lvlText w:val="%1)"/>
      <w:lvlJc w:val="left"/>
      <w:pPr>
        <w:ind w:left="1174" w:hanging="360"/>
      </w:pPr>
    </w:lvl>
    <w:lvl w:ilvl="1" w:tplc="1C3C8B94" w:tentative="1">
      <w:start w:val="1"/>
      <w:numFmt w:val="lowerLetter"/>
      <w:lvlText w:val="%2."/>
      <w:lvlJc w:val="left"/>
      <w:pPr>
        <w:ind w:left="1894" w:hanging="360"/>
      </w:pPr>
    </w:lvl>
    <w:lvl w:ilvl="2" w:tplc="21CAAAEC" w:tentative="1">
      <w:start w:val="1"/>
      <w:numFmt w:val="lowerRoman"/>
      <w:lvlText w:val="%3."/>
      <w:lvlJc w:val="right"/>
      <w:pPr>
        <w:ind w:left="2614" w:hanging="180"/>
      </w:pPr>
    </w:lvl>
    <w:lvl w:ilvl="3" w:tplc="C410380C" w:tentative="1">
      <w:start w:val="1"/>
      <w:numFmt w:val="decimal"/>
      <w:lvlText w:val="%4."/>
      <w:lvlJc w:val="left"/>
      <w:pPr>
        <w:ind w:left="3334" w:hanging="360"/>
      </w:pPr>
    </w:lvl>
    <w:lvl w:ilvl="4" w:tplc="AD1C8B12" w:tentative="1">
      <w:start w:val="1"/>
      <w:numFmt w:val="lowerLetter"/>
      <w:lvlText w:val="%5."/>
      <w:lvlJc w:val="left"/>
      <w:pPr>
        <w:ind w:left="4054" w:hanging="360"/>
      </w:pPr>
    </w:lvl>
    <w:lvl w:ilvl="5" w:tplc="C950A4A0" w:tentative="1">
      <w:start w:val="1"/>
      <w:numFmt w:val="lowerRoman"/>
      <w:lvlText w:val="%6."/>
      <w:lvlJc w:val="right"/>
      <w:pPr>
        <w:ind w:left="4774" w:hanging="180"/>
      </w:pPr>
    </w:lvl>
    <w:lvl w:ilvl="6" w:tplc="1CCCFDFA" w:tentative="1">
      <w:start w:val="1"/>
      <w:numFmt w:val="decimal"/>
      <w:lvlText w:val="%7."/>
      <w:lvlJc w:val="left"/>
      <w:pPr>
        <w:ind w:left="5494" w:hanging="360"/>
      </w:pPr>
    </w:lvl>
    <w:lvl w:ilvl="7" w:tplc="2862C016" w:tentative="1">
      <w:start w:val="1"/>
      <w:numFmt w:val="lowerLetter"/>
      <w:lvlText w:val="%8."/>
      <w:lvlJc w:val="left"/>
      <w:pPr>
        <w:ind w:left="6214" w:hanging="360"/>
      </w:pPr>
    </w:lvl>
    <w:lvl w:ilvl="8" w:tplc="AD844FEE" w:tentative="1">
      <w:start w:val="1"/>
      <w:numFmt w:val="lowerRoman"/>
      <w:lvlText w:val="%9."/>
      <w:lvlJc w:val="right"/>
      <w:pPr>
        <w:ind w:left="6934" w:hanging="180"/>
      </w:pPr>
    </w:lvl>
  </w:abstractNum>
  <w:abstractNum w:abstractNumId="20" w15:restartNumberingAfterBreak="0">
    <w:nsid w:val="46992835"/>
    <w:multiLevelType w:val="hybridMultilevel"/>
    <w:tmpl w:val="388A8600"/>
    <w:lvl w:ilvl="0" w:tplc="4CFEFA52">
      <w:start w:val="1"/>
      <w:numFmt w:val="lowerLetter"/>
      <w:lvlText w:val="%1)"/>
      <w:lvlJc w:val="left"/>
      <w:pPr>
        <w:ind w:left="786" w:hanging="360"/>
      </w:pPr>
      <w:rPr>
        <w:rFonts w:hint="default"/>
      </w:rPr>
    </w:lvl>
    <w:lvl w:ilvl="1" w:tplc="C616D59A" w:tentative="1">
      <w:start w:val="1"/>
      <w:numFmt w:val="lowerLetter"/>
      <w:lvlText w:val="%2."/>
      <w:lvlJc w:val="left"/>
      <w:pPr>
        <w:ind w:left="1506" w:hanging="360"/>
      </w:pPr>
    </w:lvl>
    <w:lvl w:ilvl="2" w:tplc="2F80B322" w:tentative="1">
      <w:start w:val="1"/>
      <w:numFmt w:val="lowerRoman"/>
      <w:lvlText w:val="%3."/>
      <w:lvlJc w:val="right"/>
      <w:pPr>
        <w:ind w:left="2226" w:hanging="180"/>
      </w:pPr>
    </w:lvl>
    <w:lvl w:ilvl="3" w:tplc="BEE632BA" w:tentative="1">
      <w:start w:val="1"/>
      <w:numFmt w:val="decimal"/>
      <w:lvlText w:val="%4."/>
      <w:lvlJc w:val="left"/>
      <w:pPr>
        <w:ind w:left="2946" w:hanging="360"/>
      </w:pPr>
    </w:lvl>
    <w:lvl w:ilvl="4" w:tplc="95A2CD26" w:tentative="1">
      <w:start w:val="1"/>
      <w:numFmt w:val="lowerLetter"/>
      <w:lvlText w:val="%5."/>
      <w:lvlJc w:val="left"/>
      <w:pPr>
        <w:ind w:left="3666" w:hanging="360"/>
      </w:pPr>
    </w:lvl>
    <w:lvl w:ilvl="5" w:tplc="C49AFB46" w:tentative="1">
      <w:start w:val="1"/>
      <w:numFmt w:val="lowerRoman"/>
      <w:lvlText w:val="%6."/>
      <w:lvlJc w:val="right"/>
      <w:pPr>
        <w:ind w:left="4386" w:hanging="180"/>
      </w:pPr>
    </w:lvl>
    <w:lvl w:ilvl="6" w:tplc="2ED4E452" w:tentative="1">
      <w:start w:val="1"/>
      <w:numFmt w:val="decimal"/>
      <w:lvlText w:val="%7."/>
      <w:lvlJc w:val="left"/>
      <w:pPr>
        <w:ind w:left="5106" w:hanging="360"/>
      </w:pPr>
    </w:lvl>
    <w:lvl w:ilvl="7" w:tplc="DB583988" w:tentative="1">
      <w:start w:val="1"/>
      <w:numFmt w:val="lowerLetter"/>
      <w:lvlText w:val="%8."/>
      <w:lvlJc w:val="left"/>
      <w:pPr>
        <w:ind w:left="5826" w:hanging="360"/>
      </w:pPr>
    </w:lvl>
    <w:lvl w:ilvl="8" w:tplc="90E65800" w:tentative="1">
      <w:start w:val="1"/>
      <w:numFmt w:val="lowerRoman"/>
      <w:lvlText w:val="%9."/>
      <w:lvlJc w:val="right"/>
      <w:pPr>
        <w:ind w:left="6546" w:hanging="180"/>
      </w:pPr>
    </w:lvl>
  </w:abstractNum>
  <w:abstractNum w:abstractNumId="21" w15:restartNumberingAfterBreak="0">
    <w:nsid w:val="47CF20F2"/>
    <w:multiLevelType w:val="hybridMultilevel"/>
    <w:tmpl w:val="3528860A"/>
    <w:lvl w:ilvl="0" w:tplc="58F2D506">
      <w:start w:val="1"/>
      <w:numFmt w:val="bullet"/>
      <w:lvlText w:val=""/>
      <w:lvlJc w:val="left"/>
      <w:pPr>
        <w:ind w:left="1146" w:hanging="360"/>
      </w:pPr>
      <w:rPr>
        <w:rFonts w:ascii="Symbol" w:hAnsi="Symbol" w:hint="default"/>
      </w:rPr>
    </w:lvl>
    <w:lvl w:ilvl="1" w:tplc="EBB4EBB6">
      <w:start w:val="1"/>
      <w:numFmt w:val="bullet"/>
      <w:lvlText w:val="o"/>
      <w:lvlJc w:val="left"/>
      <w:pPr>
        <w:ind w:left="1866" w:hanging="360"/>
      </w:pPr>
      <w:rPr>
        <w:rFonts w:ascii="Courier New" w:hAnsi="Courier New" w:cs="Courier New" w:hint="default"/>
      </w:rPr>
    </w:lvl>
    <w:lvl w:ilvl="2" w:tplc="2B9EB0C4">
      <w:start w:val="1"/>
      <w:numFmt w:val="bullet"/>
      <w:lvlText w:val=""/>
      <w:lvlJc w:val="left"/>
      <w:pPr>
        <w:ind w:left="2586" w:hanging="360"/>
      </w:pPr>
      <w:rPr>
        <w:rFonts w:ascii="Wingdings" w:hAnsi="Wingdings" w:hint="default"/>
      </w:rPr>
    </w:lvl>
    <w:lvl w:ilvl="3" w:tplc="C6DC58EC" w:tentative="1">
      <w:start w:val="1"/>
      <w:numFmt w:val="bullet"/>
      <w:lvlText w:val=""/>
      <w:lvlJc w:val="left"/>
      <w:pPr>
        <w:ind w:left="3306" w:hanging="360"/>
      </w:pPr>
      <w:rPr>
        <w:rFonts w:ascii="Symbol" w:hAnsi="Symbol" w:hint="default"/>
      </w:rPr>
    </w:lvl>
    <w:lvl w:ilvl="4" w:tplc="DBB42C66" w:tentative="1">
      <w:start w:val="1"/>
      <w:numFmt w:val="bullet"/>
      <w:lvlText w:val="o"/>
      <w:lvlJc w:val="left"/>
      <w:pPr>
        <w:ind w:left="4026" w:hanging="360"/>
      </w:pPr>
      <w:rPr>
        <w:rFonts w:ascii="Courier New" w:hAnsi="Courier New" w:cs="Courier New" w:hint="default"/>
      </w:rPr>
    </w:lvl>
    <w:lvl w:ilvl="5" w:tplc="AE301D1E" w:tentative="1">
      <w:start w:val="1"/>
      <w:numFmt w:val="bullet"/>
      <w:lvlText w:val=""/>
      <w:lvlJc w:val="left"/>
      <w:pPr>
        <w:ind w:left="4746" w:hanging="360"/>
      </w:pPr>
      <w:rPr>
        <w:rFonts w:ascii="Wingdings" w:hAnsi="Wingdings" w:hint="default"/>
      </w:rPr>
    </w:lvl>
    <w:lvl w:ilvl="6" w:tplc="678A8C98" w:tentative="1">
      <w:start w:val="1"/>
      <w:numFmt w:val="bullet"/>
      <w:lvlText w:val=""/>
      <w:lvlJc w:val="left"/>
      <w:pPr>
        <w:ind w:left="5466" w:hanging="360"/>
      </w:pPr>
      <w:rPr>
        <w:rFonts w:ascii="Symbol" w:hAnsi="Symbol" w:hint="default"/>
      </w:rPr>
    </w:lvl>
    <w:lvl w:ilvl="7" w:tplc="1BB673A8" w:tentative="1">
      <w:start w:val="1"/>
      <w:numFmt w:val="bullet"/>
      <w:lvlText w:val="o"/>
      <w:lvlJc w:val="left"/>
      <w:pPr>
        <w:ind w:left="6186" w:hanging="360"/>
      </w:pPr>
      <w:rPr>
        <w:rFonts w:ascii="Courier New" w:hAnsi="Courier New" w:cs="Courier New" w:hint="default"/>
      </w:rPr>
    </w:lvl>
    <w:lvl w:ilvl="8" w:tplc="5F720AE0" w:tentative="1">
      <w:start w:val="1"/>
      <w:numFmt w:val="bullet"/>
      <w:lvlText w:val=""/>
      <w:lvlJc w:val="left"/>
      <w:pPr>
        <w:ind w:left="6906" w:hanging="360"/>
      </w:pPr>
      <w:rPr>
        <w:rFonts w:ascii="Wingdings" w:hAnsi="Wingdings" w:hint="default"/>
      </w:rPr>
    </w:lvl>
  </w:abstractNum>
  <w:abstractNum w:abstractNumId="22" w15:restartNumberingAfterBreak="0">
    <w:nsid w:val="48EA098E"/>
    <w:multiLevelType w:val="hybridMultilevel"/>
    <w:tmpl w:val="6D723550"/>
    <w:lvl w:ilvl="0" w:tplc="32B6FEE8">
      <w:start w:val="1"/>
      <w:numFmt w:val="lowerLetter"/>
      <w:lvlText w:val="%1)"/>
      <w:lvlJc w:val="left"/>
      <w:pPr>
        <w:ind w:left="1713" w:hanging="360"/>
      </w:pPr>
    </w:lvl>
    <w:lvl w:ilvl="1" w:tplc="C94E4DEE">
      <w:start w:val="1"/>
      <w:numFmt w:val="lowerLetter"/>
      <w:lvlText w:val="%2."/>
      <w:lvlJc w:val="left"/>
      <w:pPr>
        <w:ind w:left="2433" w:hanging="360"/>
      </w:pPr>
    </w:lvl>
    <w:lvl w:ilvl="2" w:tplc="FE406CB0" w:tentative="1">
      <w:start w:val="1"/>
      <w:numFmt w:val="lowerRoman"/>
      <w:lvlText w:val="%3."/>
      <w:lvlJc w:val="right"/>
      <w:pPr>
        <w:ind w:left="3153" w:hanging="180"/>
      </w:pPr>
    </w:lvl>
    <w:lvl w:ilvl="3" w:tplc="1B3C4C8E" w:tentative="1">
      <w:start w:val="1"/>
      <w:numFmt w:val="decimal"/>
      <w:lvlText w:val="%4."/>
      <w:lvlJc w:val="left"/>
      <w:pPr>
        <w:ind w:left="3873" w:hanging="360"/>
      </w:pPr>
    </w:lvl>
    <w:lvl w:ilvl="4" w:tplc="34FAEC36" w:tentative="1">
      <w:start w:val="1"/>
      <w:numFmt w:val="lowerLetter"/>
      <w:lvlText w:val="%5."/>
      <w:lvlJc w:val="left"/>
      <w:pPr>
        <w:ind w:left="4593" w:hanging="360"/>
      </w:pPr>
    </w:lvl>
    <w:lvl w:ilvl="5" w:tplc="88E0858E" w:tentative="1">
      <w:start w:val="1"/>
      <w:numFmt w:val="lowerRoman"/>
      <w:lvlText w:val="%6."/>
      <w:lvlJc w:val="right"/>
      <w:pPr>
        <w:ind w:left="5313" w:hanging="180"/>
      </w:pPr>
    </w:lvl>
    <w:lvl w:ilvl="6" w:tplc="25245158" w:tentative="1">
      <w:start w:val="1"/>
      <w:numFmt w:val="decimal"/>
      <w:lvlText w:val="%7."/>
      <w:lvlJc w:val="left"/>
      <w:pPr>
        <w:ind w:left="6033" w:hanging="360"/>
      </w:pPr>
    </w:lvl>
    <w:lvl w:ilvl="7" w:tplc="24FC3696" w:tentative="1">
      <w:start w:val="1"/>
      <w:numFmt w:val="lowerLetter"/>
      <w:lvlText w:val="%8."/>
      <w:lvlJc w:val="left"/>
      <w:pPr>
        <w:ind w:left="6753" w:hanging="360"/>
      </w:pPr>
    </w:lvl>
    <w:lvl w:ilvl="8" w:tplc="623C0406" w:tentative="1">
      <w:start w:val="1"/>
      <w:numFmt w:val="lowerRoman"/>
      <w:lvlText w:val="%9."/>
      <w:lvlJc w:val="right"/>
      <w:pPr>
        <w:ind w:left="7473" w:hanging="180"/>
      </w:pPr>
    </w:lvl>
  </w:abstractNum>
  <w:abstractNum w:abstractNumId="23" w15:restartNumberingAfterBreak="0">
    <w:nsid w:val="4BF54691"/>
    <w:multiLevelType w:val="multilevel"/>
    <w:tmpl w:val="E5989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CA060CD"/>
    <w:multiLevelType w:val="hybridMultilevel"/>
    <w:tmpl w:val="E5406326"/>
    <w:lvl w:ilvl="0" w:tplc="E1B8F9BA">
      <w:start w:val="1"/>
      <w:numFmt w:val="bullet"/>
      <w:lvlText w:val=""/>
      <w:lvlJc w:val="left"/>
      <w:pPr>
        <w:ind w:left="1146" w:hanging="360"/>
      </w:pPr>
      <w:rPr>
        <w:rFonts w:ascii="Symbol" w:hAnsi="Symbol" w:hint="default"/>
      </w:rPr>
    </w:lvl>
    <w:lvl w:ilvl="1" w:tplc="FFFC2A7A">
      <w:start w:val="1"/>
      <w:numFmt w:val="bullet"/>
      <w:lvlText w:val="o"/>
      <w:lvlJc w:val="left"/>
      <w:pPr>
        <w:ind w:left="1866" w:hanging="360"/>
      </w:pPr>
      <w:rPr>
        <w:rFonts w:ascii="Courier New" w:hAnsi="Courier New" w:cs="Courier New" w:hint="default"/>
      </w:rPr>
    </w:lvl>
    <w:lvl w:ilvl="2" w:tplc="03B23D56">
      <w:start w:val="1"/>
      <w:numFmt w:val="bullet"/>
      <w:lvlText w:val=""/>
      <w:lvlJc w:val="left"/>
      <w:pPr>
        <w:ind w:left="2586" w:hanging="360"/>
      </w:pPr>
      <w:rPr>
        <w:rFonts w:ascii="Wingdings" w:hAnsi="Wingdings" w:hint="default"/>
      </w:rPr>
    </w:lvl>
    <w:lvl w:ilvl="3" w:tplc="6C50C82A" w:tentative="1">
      <w:start w:val="1"/>
      <w:numFmt w:val="bullet"/>
      <w:lvlText w:val=""/>
      <w:lvlJc w:val="left"/>
      <w:pPr>
        <w:ind w:left="3306" w:hanging="360"/>
      </w:pPr>
      <w:rPr>
        <w:rFonts w:ascii="Symbol" w:hAnsi="Symbol" w:hint="default"/>
      </w:rPr>
    </w:lvl>
    <w:lvl w:ilvl="4" w:tplc="950C5574" w:tentative="1">
      <w:start w:val="1"/>
      <w:numFmt w:val="bullet"/>
      <w:lvlText w:val="o"/>
      <w:lvlJc w:val="left"/>
      <w:pPr>
        <w:ind w:left="4026" w:hanging="360"/>
      </w:pPr>
      <w:rPr>
        <w:rFonts w:ascii="Courier New" w:hAnsi="Courier New" w:cs="Courier New" w:hint="default"/>
      </w:rPr>
    </w:lvl>
    <w:lvl w:ilvl="5" w:tplc="C57A5C6E" w:tentative="1">
      <w:start w:val="1"/>
      <w:numFmt w:val="bullet"/>
      <w:lvlText w:val=""/>
      <w:lvlJc w:val="left"/>
      <w:pPr>
        <w:ind w:left="4746" w:hanging="360"/>
      </w:pPr>
      <w:rPr>
        <w:rFonts w:ascii="Wingdings" w:hAnsi="Wingdings" w:hint="default"/>
      </w:rPr>
    </w:lvl>
    <w:lvl w:ilvl="6" w:tplc="6A40B03E" w:tentative="1">
      <w:start w:val="1"/>
      <w:numFmt w:val="bullet"/>
      <w:lvlText w:val=""/>
      <w:lvlJc w:val="left"/>
      <w:pPr>
        <w:ind w:left="5466" w:hanging="360"/>
      </w:pPr>
      <w:rPr>
        <w:rFonts w:ascii="Symbol" w:hAnsi="Symbol" w:hint="default"/>
      </w:rPr>
    </w:lvl>
    <w:lvl w:ilvl="7" w:tplc="EF589688" w:tentative="1">
      <w:start w:val="1"/>
      <w:numFmt w:val="bullet"/>
      <w:lvlText w:val="o"/>
      <w:lvlJc w:val="left"/>
      <w:pPr>
        <w:ind w:left="6186" w:hanging="360"/>
      </w:pPr>
      <w:rPr>
        <w:rFonts w:ascii="Courier New" w:hAnsi="Courier New" w:cs="Courier New" w:hint="default"/>
      </w:rPr>
    </w:lvl>
    <w:lvl w:ilvl="8" w:tplc="4E604F04" w:tentative="1">
      <w:start w:val="1"/>
      <w:numFmt w:val="bullet"/>
      <w:lvlText w:val=""/>
      <w:lvlJc w:val="left"/>
      <w:pPr>
        <w:ind w:left="6906" w:hanging="360"/>
      </w:pPr>
      <w:rPr>
        <w:rFonts w:ascii="Wingdings" w:hAnsi="Wingdings" w:hint="default"/>
      </w:rPr>
    </w:lvl>
  </w:abstractNum>
  <w:abstractNum w:abstractNumId="25" w15:restartNumberingAfterBreak="0">
    <w:nsid w:val="4D6E419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8C28E4"/>
    <w:multiLevelType w:val="hybridMultilevel"/>
    <w:tmpl w:val="CAD6FCFE"/>
    <w:lvl w:ilvl="0" w:tplc="7164A2CE">
      <w:start w:val="1"/>
      <w:numFmt w:val="bullet"/>
      <w:lvlText w:val=""/>
      <w:lvlJc w:val="left"/>
      <w:pPr>
        <w:ind w:left="1174" w:hanging="360"/>
      </w:pPr>
      <w:rPr>
        <w:rFonts w:ascii="Symbol" w:hAnsi="Symbol" w:hint="default"/>
      </w:rPr>
    </w:lvl>
    <w:lvl w:ilvl="1" w:tplc="6A34C0B4" w:tentative="1">
      <w:start w:val="1"/>
      <w:numFmt w:val="bullet"/>
      <w:lvlText w:val="o"/>
      <w:lvlJc w:val="left"/>
      <w:pPr>
        <w:ind w:left="1894" w:hanging="360"/>
      </w:pPr>
      <w:rPr>
        <w:rFonts w:ascii="Courier New" w:hAnsi="Courier New" w:cs="Courier New" w:hint="default"/>
      </w:rPr>
    </w:lvl>
    <w:lvl w:ilvl="2" w:tplc="4D1E0D7C" w:tentative="1">
      <w:start w:val="1"/>
      <w:numFmt w:val="bullet"/>
      <w:lvlText w:val=""/>
      <w:lvlJc w:val="left"/>
      <w:pPr>
        <w:ind w:left="2614" w:hanging="360"/>
      </w:pPr>
      <w:rPr>
        <w:rFonts w:ascii="Wingdings" w:hAnsi="Wingdings" w:hint="default"/>
      </w:rPr>
    </w:lvl>
    <w:lvl w:ilvl="3" w:tplc="B502B8BC" w:tentative="1">
      <w:start w:val="1"/>
      <w:numFmt w:val="bullet"/>
      <w:lvlText w:val=""/>
      <w:lvlJc w:val="left"/>
      <w:pPr>
        <w:ind w:left="3334" w:hanging="360"/>
      </w:pPr>
      <w:rPr>
        <w:rFonts w:ascii="Symbol" w:hAnsi="Symbol" w:hint="default"/>
      </w:rPr>
    </w:lvl>
    <w:lvl w:ilvl="4" w:tplc="7C3C9CF0" w:tentative="1">
      <w:start w:val="1"/>
      <w:numFmt w:val="bullet"/>
      <w:lvlText w:val="o"/>
      <w:lvlJc w:val="left"/>
      <w:pPr>
        <w:ind w:left="4054" w:hanging="360"/>
      </w:pPr>
      <w:rPr>
        <w:rFonts w:ascii="Courier New" w:hAnsi="Courier New" w:cs="Courier New" w:hint="default"/>
      </w:rPr>
    </w:lvl>
    <w:lvl w:ilvl="5" w:tplc="50C28C22" w:tentative="1">
      <w:start w:val="1"/>
      <w:numFmt w:val="bullet"/>
      <w:lvlText w:val=""/>
      <w:lvlJc w:val="left"/>
      <w:pPr>
        <w:ind w:left="4774" w:hanging="360"/>
      </w:pPr>
      <w:rPr>
        <w:rFonts w:ascii="Wingdings" w:hAnsi="Wingdings" w:hint="default"/>
      </w:rPr>
    </w:lvl>
    <w:lvl w:ilvl="6" w:tplc="8CDA04BC" w:tentative="1">
      <w:start w:val="1"/>
      <w:numFmt w:val="bullet"/>
      <w:lvlText w:val=""/>
      <w:lvlJc w:val="left"/>
      <w:pPr>
        <w:ind w:left="5494" w:hanging="360"/>
      </w:pPr>
      <w:rPr>
        <w:rFonts w:ascii="Symbol" w:hAnsi="Symbol" w:hint="default"/>
      </w:rPr>
    </w:lvl>
    <w:lvl w:ilvl="7" w:tplc="0408ED20" w:tentative="1">
      <w:start w:val="1"/>
      <w:numFmt w:val="bullet"/>
      <w:lvlText w:val="o"/>
      <w:lvlJc w:val="left"/>
      <w:pPr>
        <w:ind w:left="6214" w:hanging="360"/>
      </w:pPr>
      <w:rPr>
        <w:rFonts w:ascii="Courier New" w:hAnsi="Courier New" w:cs="Courier New" w:hint="default"/>
      </w:rPr>
    </w:lvl>
    <w:lvl w:ilvl="8" w:tplc="647EC728" w:tentative="1">
      <w:start w:val="1"/>
      <w:numFmt w:val="bullet"/>
      <w:lvlText w:val=""/>
      <w:lvlJc w:val="left"/>
      <w:pPr>
        <w:ind w:left="6934" w:hanging="360"/>
      </w:pPr>
      <w:rPr>
        <w:rFonts w:ascii="Wingdings" w:hAnsi="Wingdings" w:hint="default"/>
      </w:rPr>
    </w:lvl>
  </w:abstractNum>
  <w:abstractNum w:abstractNumId="27" w15:restartNumberingAfterBreak="0">
    <w:nsid w:val="5AFA787D"/>
    <w:multiLevelType w:val="hybridMultilevel"/>
    <w:tmpl w:val="5EE6FC76"/>
    <w:lvl w:ilvl="0" w:tplc="1062C4F4">
      <w:start w:val="1"/>
      <w:numFmt w:val="bullet"/>
      <w:lvlText w:val=""/>
      <w:lvlJc w:val="left"/>
      <w:pPr>
        <w:ind w:left="720" w:hanging="360"/>
      </w:pPr>
      <w:rPr>
        <w:rFonts w:ascii="Symbol" w:hAnsi="Symbol" w:hint="default"/>
      </w:rPr>
    </w:lvl>
    <w:lvl w:ilvl="1" w:tplc="7832A452" w:tentative="1">
      <w:start w:val="1"/>
      <w:numFmt w:val="bullet"/>
      <w:lvlText w:val="o"/>
      <w:lvlJc w:val="left"/>
      <w:pPr>
        <w:ind w:left="1440" w:hanging="360"/>
      </w:pPr>
      <w:rPr>
        <w:rFonts w:ascii="Courier New" w:hAnsi="Courier New" w:cs="Courier New" w:hint="default"/>
      </w:rPr>
    </w:lvl>
    <w:lvl w:ilvl="2" w:tplc="4B72D114" w:tentative="1">
      <w:start w:val="1"/>
      <w:numFmt w:val="bullet"/>
      <w:lvlText w:val=""/>
      <w:lvlJc w:val="left"/>
      <w:pPr>
        <w:ind w:left="2160" w:hanging="360"/>
      </w:pPr>
      <w:rPr>
        <w:rFonts w:ascii="Wingdings" w:hAnsi="Wingdings" w:hint="default"/>
      </w:rPr>
    </w:lvl>
    <w:lvl w:ilvl="3" w:tplc="89C261C2" w:tentative="1">
      <w:start w:val="1"/>
      <w:numFmt w:val="bullet"/>
      <w:lvlText w:val=""/>
      <w:lvlJc w:val="left"/>
      <w:pPr>
        <w:ind w:left="2880" w:hanging="360"/>
      </w:pPr>
      <w:rPr>
        <w:rFonts w:ascii="Symbol" w:hAnsi="Symbol" w:hint="default"/>
      </w:rPr>
    </w:lvl>
    <w:lvl w:ilvl="4" w:tplc="ADA29818" w:tentative="1">
      <w:start w:val="1"/>
      <w:numFmt w:val="bullet"/>
      <w:lvlText w:val="o"/>
      <w:lvlJc w:val="left"/>
      <w:pPr>
        <w:ind w:left="3600" w:hanging="360"/>
      </w:pPr>
      <w:rPr>
        <w:rFonts w:ascii="Courier New" w:hAnsi="Courier New" w:cs="Courier New" w:hint="default"/>
      </w:rPr>
    </w:lvl>
    <w:lvl w:ilvl="5" w:tplc="6C3C9A7C" w:tentative="1">
      <w:start w:val="1"/>
      <w:numFmt w:val="bullet"/>
      <w:lvlText w:val=""/>
      <w:lvlJc w:val="left"/>
      <w:pPr>
        <w:ind w:left="4320" w:hanging="360"/>
      </w:pPr>
      <w:rPr>
        <w:rFonts w:ascii="Wingdings" w:hAnsi="Wingdings" w:hint="default"/>
      </w:rPr>
    </w:lvl>
    <w:lvl w:ilvl="6" w:tplc="EDD47D00" w:tentative="1">
      <w:start w:val="1"/>
      <w:numFmt w:val="bullet"/>
      <w:lvlText w:val=""/>
      <w:lvlJc w:val="left"/>
      <w:pPr>
        <w:ind w:left="5040" w:hanging="360"/>
      </w:pPr>
      <w:rPr>
        <w:rFonts w:ascii="Symbol" w:hAnsi="Symbol" w:hint="default"/>
      </w:rPr>
    </w:lvl>
    <w:lvl w:ilvl="7" w:tplc="0E762A9A" w:tentative="1">
      <w:start w:val="1"/>
      <w:numFmt w:val="bullet"/>
      <w:lvlText w:val="o"/>
      <w:lvlJc w:val="left"/>
      <w:pPr>
        <w:ind w:left="5760" w:hanging="360"/>
      </w:pPr>
      <w:rPr>
        <w:rFonts w:ascii="Courier New" w:hAnsi="Courier New" w:cs="Courier New" w:hint="default"/>
      </w:rPr>
    </w:lvl>
    <w:lvl w:ilvl="8" w:tplc="C20E1FD4" w:tentative="1">
      <w:start w:val="1"/>
      <w:numFmt w:val="bullet"/>
      <w:lvlText w:val=""/>
      <w:lvlJc w:val="left"/>
      <w:pPr>
        <w:ind w:left="6480" w:hanging="360"/>
      </w:pPr>
      <w:rPr>
        <w:rFonts w:ascii="Wingdings" w:hAnsi="Wingdings" w:hint="default"/>
      </w:rPr>
    </w:lvl>
  </w:abstractNum>
  <w:abstractNum w:abstractNumId="28" w15:restartNumberingAfterBreak="0">
    <w:nsid w:val="5F9F1A9A"/>
    <w:multiLevelType w:val="hybridMultilevel"/>
    <w:tmpl w:val="EEE08B4E"/>
    <w:lvl w:ilvl="0" w:tplc="A1F47D8A">
      <w:start w:val="1"/>
      <w:numFmt w:val="decimal"/>
      <w:lvlText w:val="Tabela nr %1"/>
      <w:lvlJc w:val="left"/>
      <w:pPr>
        <w:ind w:left="426" w:hanging="360"/>
      </w:pPr>
      <w:rPr>
        <w:rFonts w:ascii="Arial" w:hAnsi="Arial"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3815F3"/>
    <w:multiLevelType w:val="hybridMultilevel"/>
    <w:tmpl w:val="11926880"/>
    <w:lvl w:ilvl="0" w:tplc="0624F5AC">
      <w:start w:val="1"/>
      <w:numFmt w:val="decimal"/>
      <w:lvlText w:val="%1."/>
      <w:lvlJc w:val="left"/>
      <w:pPr>
        <w:ind w:left="720" w:hanging="360"/>
      </w:pPr>
    </w:lvl>
    <w:lvl w:ilvl="1" w:tplc="5D7CE3B6">
      <w:start w:val="1"/>
      <w:numFmt w:val="lowerLetter"/>
      <w:lvlText w:val="%2."/>
      <w:lvlJc w:val="left"/>
      <w:pPr>
        <w:ind w:left="1440" w:hanging="360"/>
      </w:pPr>
    </w:lvl>
    <w:lvl w:ilvl="2" w:tplc="6BB0B782" w:tentative="1">
      <w:start w:val="1"/>
      <w:numFmt w:val="lowerRoman"/>
      <w:lvlText w:val="%3."/>
      <w:lvlJc w:val="right"/>
      <w:pPr>
        <w:ind w:left="2160" w:hanging="180"/>
      </w:pPr>
    </w:lvl>
    <w:lvl w:ilvl="3" w:tplc="975E9578" w:tentative="1">
      <w:start w:val="1"/>
      <w:numFmt w:val="decimal"/>
      <w:lvlText w:val="%4."/>
      <w:lvlJc w:val="left"/>
      <w:pPr>
        <w:ind w:left="2880" w:hanging="360"/>
      </w:pPr>
    </w:lvl>
    <w:lvl w:ilvl="4" w:tplc="97787DC2" w:tentative="1">
      <w:start w:val="1"/>
      <w:numFmt w:val="lowerLetter"/>
      <w:lvlText w:val="%5."/>
      <w:lvlJc w:val="left"/>
      <w:pPr>
        <w:ind w:left="3600" w:hanging="360"/>
      </w:pPr>
    </w:lvl>
    <w:lvl w:ilvl="5" w:tplc="D884F34C" w:tentative="1">
      <w:start w:val="1"/>
      <w:numFmt w:val="lowerRoman"/>
      <w:lvlText w:val="%6."/>
      <w:lvlJc w:val="right"/>
      <w:pPr>
        <w:ind w:left="4320" w:hanging="180"/>
      </w:pPr>
    </w:lvl>
    <w:lvl w:ilvl="6" w:tplc="585E7D0E" w:tentative="1">
      <w:start w:val="1"/>
      <w:numFmt w:val="decimal"/>
      <w:lvlText w:val="%7."/>
      <w:lvlJc w:val="left"/>
      <w:pPr>
        <w:ind w:left="5040" w:hanging="360"/>
      </w:pPr>
    </w:lvl>
    <w:lvl w:ilvl="7" w:tplc="F10638EA" w:tentative="1">
      <w:start w:val="1"/>
      <w:numFmt w:val="lowerLetter"/>
      <w:lvlText w:val="%8."/>
      <w:lvlJc w:val="left"/>
      <w:pPr>
        <w:ind w:left="5760" w:hanging="360"/>
      </w:pPr>
    </w:lvl>
    <w:lvl w:ilvl="8" w:tplc="D04449EA" w:tentative="1">
      <w:start w:val="1"/>
      <w:numFmt w:val="lowerRoman"/>
      <w:lvlText w:val="%9."/>
      <w:lvlJc w:val="right"/>
      <w:pPr>
        <w:ind w:left="6480" w:hanging="180"/>
      </w:pPr>
    </w:lvl>
  </w:abstractNum>
  <w:abstractNum w:abstractNumId="30" w15:restartNumberingAfterBreak="0">
    <w:nsid w:val="78150C93"/>
    <w:multiLevelType w:val="multilevel"/>
    <w:tmpl w:val="F4560D76"/>
    <w:lvl w:ilvl="0">
      <w:start w:val="1"/>
      <w:numFmt w:val="decimal"/>
      <w:lvlText w:val="%1."/>
      <w:lvlJc w:val="left"/>
      <w:pPr>
        <w:ind w:left="454" w:hanging="454"/>
      </w:pPr>
      <w:rPr>
        <w:color w:val="auto"/>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555048"/>
    <w:multiLevelType w:val="multilevel"/>
    <w:tmpl w:val="D52EF5AE"/>
    <w:lvl w:ilvl="0">
      <w:start w:val="1"/>
      <w:numFmt w:val="decimal"/>
      <w:lvlText w:val="%1."/>
      <w:lvlJc w:val="righ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20" w:hanging="360"/>
      </w:pPr>
      <w:rPr>
        <w:rFonts w:hint="default"/>
        <w:color w:val="auto"/>
      </w:rPr>
    </w:lvl>
    <w:lvl w:ilvl="2">
      <w:start w:val="1"/>
      <w:numFmt w:val="decimal"/>
      <w:pStyle w:val="Nagwek3"/>
      <w:lvlText w:val="%1.%2.%3."/>
      <w:lvlJc w:val="left"/>
      <w:pPr>
        <w:ind w:left="720" w:hanging="363"/>
      </w:pPr>
      <w:rPr>
        <w:rFonts w:hint="default"/>
        <w:color w:val="auto"/>
      </w:rPr>
    </w:lvl>
    <w:lvl w:ilvl="3">
      <w:start w:val="1"/>
      <w:numFmt w:val="decimal"/>
      <w:pStyle w:val="Nagwek4"/>
      <w:lvlText w:val="%1.%2.%3.%4."/>
      <w:lvlJc w:val="left"/>
      <w:pPr>
        <w:ind w:left="720" w:hanging="36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5049BC"/>
    <w:multiLevelType w:val="multilevel"/>
    <w:tmpl w:val="E45EA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9757CD"/>
    <w:multiLevelType w:val="multilevel"/>
    <w:tmpl w:val="E478918A"/>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color w:val="auto"/>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E8C112A"/>
    <w:multiLevelType w:val="hybridMultilevel"/>
    <w:tmpl w:val="4E70AF3E"/>
    <w:lvl w:ilvl="0" w:tplc="2490FDA0">
      <w:start w:val="1"/>
      <w:numFmt w:val="decimal"/>
      <w:lvlText w:val="%1."/>
      <w:lvlJc w:val="left"/>
      <w:pPr>
        <w:ind w:left="720" w:hanging="363"/>
      </w:pPr>
      <w:rPr>
        <w:rFonts w:hint="default"/>
      </w:rPr>
    </w:lvl>
    <w:lvl w:ilvl="1" w:tplc="AC18944A">
      <w:start w:val="1"/>
      <w:numFmt w:val="lowerLetter"/>
      <w:lvlText w:val="%2."/>
      <w:lvlJc w:val="left"/>
      <w:pPr>
        <w:ind w:left="1440" w:hanging="360"/>
      </w:pPr>
    </w:lvl>
    <w:lvl w:ilvl="2" w:tplc="3EFE0B1E">
      <w:start w:val="3"/>
      <w:numFmt w:val="bullet"/>
      <w:lvlText w:val="•"/>
      <w:lvlJc w:val="left"/>
      <w:pPr>
        <w:ind w:left="2340" w:hanging="360"/>
      </w:pPr>
      <w:rPr>
        <w:rFonts w:ascii="Arial" w:eastAsiaTheme="minorHAnsi" w:hAnsi="Arial" w:cs="Arial" w:hint="default"/>
      </w:rPr>
    </w:lvl>
    <w:lvl w:ilvl="3" w:tplc="FC1A2F86">
      <w:start w:val="1"/>
      <w:numFmt w:val="decimal"/>
      <w:lvlText w:val="%4)"/>
      <w:lvlJc w:val="left"/>
      <w:pPr>
        <w:ind w:left="2880" w:hanging="360"/>
      </w:pPr>
      <w:rPr>
        <w:rFonts w:hint="default"/>
      </w:rPr>
    </w:lvl>
    <w:lvl w:ilvl="4" w:tplc="6E8456E0">
      <w:start w:val="1"/>
      <w:numFmt w:val="lowerLetter"/>
      <w:lvlText w:val="%5)"/>
      <w:lvlJc w:val="left"/>
      <w:pPr>
        <w:ind w:left="3600" w:hanging="360"/>
      </w:pPr>
      <w:rPr>
        <w:rFonts w:hint="default"/>
      </w:rPr>
    </w:lvl>
    <w:lvl w:ilvl="5" w:tplc="437200CE" w:tentative="1">
      <w:start w:val="1"/>
      <w:numFmt w:val="lowerRoman"/>
      <w:lvlText w:val="%6."/>
      <w:lvlJc w:val="right"/>
      <w:pPr>
        <w:ind w:left="4320" w:hanging="180"/>
      </w:pPr>
    </w:lvl>
    <w:lvl w:ilvl="6" w:tplc="2036FCCE" w:tentative="1">
      <w:start w:val="1"/>
      <w:numFmt w:val="decimal"/>
      <w:lvlText w:val="%7."/>
      <w:lvlJc w:val="left"/>
      <w:pPr>
        <w:ind w:left="5040" w:hanging="360"/>
      </w:pPr>
    </w:lvl>
    <w:lvl w:ilvl="7" w:tplc="207460C8" w:tentative="1">
      <w:start w:val="1"/>
      <w:numFmt w:val="lowerLetter"/>
      <w:lvlText w:val="%8."/>
      <w:lvlJc w:val="left"/>
      <w:pPr>
        <w:ind w:left="5760" w:hanging="360"/>
      </w:pPr>
    </w:lvl>
    <w:lvl w:ilvl="8" w:tplc="5E486A16" w:tentative="1">
      <w:start w:val="1"/>
      <w:numFmt w:val="lowerRoman"/>
      <w:lvlText w:val="%9."/>
      <w:lvlJc w:val="right"/>
      <w:pPr>
        <w:ind w:left="6480" w:hanging="180"/>
      </w:pPr>
    </w:lvl>
  </w:abstractNum>
  <w:num w:numId="1">
    <w:abstractNumId w:val="18"/>
  </w:num>
  <w:num w:numId="2">
    <w:abstractNumId w:val="18"/>
  </w:num>
  <w:num w:numId="3">
    <w:abstractNumId w:val="5"/>
  </w:num>
  <w:num w:numId="4">
    <w:abstractNumId w:val="4"/>
  </w:num>
  <w:num w:numId="5">
    <w:abstractNumId w:val="28"/>
  </w:num>
  <w:num w:numId="6">
    <w:abstractNumId w:val="2"/>
  </w:num>
  <w:num w:numId="7">
    <w:abstractNumId w:val="28"/>
  </w:num>
  <w:num w:numId="8">
    <w:abstractNumId w:val="1"/>
  </w:num>
  <w:num w:numId="9">
    <w:abstractNumId w:val="28"/>
  </w:num>
  <w:num w:numId="10">
    <w:abstractNumId w:val="15"/>
  </w:num>
  <w:num w:numId="11">
    <w:abstractNumId w:val="5"/>
  </w:num>
  <w:num w:numId="12">
    <w:abstractNumId w:val="0"/>
  </w:num>
  <w:num w:numId="13">
    <w:abstractNumId w:val="33"/>
  </w:num>
  <w:num w:numId="14">
    <w:abstractNumId w:val="33"/>
  </w:num>
  <w:num w:numId="15">
    <w:abstractNumId w:val="10"/>
  </w:num>
  <w:num w:numId="16">
    <w:abstractNumId w:val="23"/>
  </w:num>
  <w:num w:numId="17">
    <w:abstractNumId w:val="6"/>
  </w:num>
  <w:num w:numId="18">
    <w:abstractNumId w:val="6"/>
  </w:num>
  <w:num w:numId="19">
    <w:abstractNumId w:val="32"/>
  </w:num>
  <w:num w:numId="20">
    <w:abstractNumId w:val="31"/>
  </w:num>
  <w:num w:numId="21">
    <w:abstractNumId w:val="31"/>
  </w:num>
  <w:num w:numId="22">
    <w:abstractNumId w:val="31"/>
  </w:num>
  <w:num w:numId="23">
    <w:abstractNumId w:val="31"/>
  </w:num>
  <w:num w:numId="24">
    <w:abstractNumId w:val="28"/>
  </w:num>
  <w:num w:numId="25">
    <w:abstractNumId w:val="28"/>
  </w:num>
  <w:num w:numId="26">
    <w:abstractNumId w:val="28"/>
  </w:num>
  <w:num w:numId="27">
    <w:abstractNumId w:val="14"/>
  </w:num>
  <w:num w:numId="28">
    <w:abstractNumId w:val="29"/>
  </w:num>
  <w:num w:numId="29">
    <w:abstractNumId w:val="17"/>
  </w:num>
  <w:num w:numId="30">
    <w:abstractNumId w:val="3"/>
  </w:num>
  <w:num w:numId="31">
    <w:abstractNumId w:val="20"/>
  </w:num>
  <w:num w:numId="32">
    <w:abstractNumId w:val="34"/>
  </w:num>
  <w:num w:numId="33">
    <w:abstractNumId w:val="16"/>
  </w:num>
  <w:num w:numId="34">
    <w:abstractNumId w:val="12"/>
  </w:num>
  <w:num w:numId="35">
    <w:abstractNumId w:val="30"/>
  </w:num>
  <w:num w:numId="36">
    <w:abstractNumId w:val="11"/>
  </w:num>
  <w:num w:numId="37">
    <w:abstractNumId w:val="26"/>
  </w:num>
  <w:num w:numId="38">
    <w:abstractNumId w:val="8"/>
  </w:num>
  <w:num w:numId="39">
    <w:abstractNumId w:val="7"/>
  </w:num>
  <w:num w:numId="40">
    <w:abstractNumId w:val="13"/>
  </w:num>
  <w:num w:numId="41">
    <w:abstractNumId w:val="9"/>
  </w:num>
  <w:num w:numId="42">
    <w:abstractNumId w:val="22"/>
  </w:num>
  <w:num w:numId="43">
    <w:abstractNumId w:val="19"/>
  </w:num>
  <w:num w:numId="44">
    <w:abstractNumId w:val="21"/>
  </w:num>
  <w:num w:numId="45">
    <w:abstractNumId w:val="24"/>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3A"/>
    <w:rsid w:val="00025215"/>
    <w:rsid w:val="00191C2F"/>
    <w:rsid w:val="001931A4"/>
    <w:rsid w:val="002511EF"/>
    <w:rsid w:val="002F6451"/>
    <w:rsid w:val="00342B52"/>
    <w:rsid w:val="00403485"/>
    <w:rsid w:val="00472F4D"/>
    <w:rsid w:val="00582836"/>
    <w:rsid w:val="005C1DBE"/>
    <w:rsid w:val="006343B0"/>
    <w:rsid w:val="00644EED"/>
    <w:rsid w:val="006C3AD8"/>
    <w:rsid w:val="0077711A"/>
    <w:rsid w:val="008C484D"/>
    <w:rsid w:val="00943506"/>
    <w:rsid w:val="00943F5B"/>
    <w:rsid w:val="00962E41"/>
    <w:rsid w:val="00A33C32"/>
    <w:rsid w:val="00A85ECD"/>
    <w:rsid w:val="00AB0F38"/>
    <w:rsid w:val="00AF329C"/>
    <w:rsid w:val="00B42950"/>
    <w:rsid w:val="00CD719E"/>
    <w:rsid w:val="00D570B0"/>
    <w:rsid w:val="00E21D3A"/>
    <w:rsid w:val="00E240E5"/>
    <w:rsid w:val="00E70642"/>
    <w:rsid w:val="00E754F4"/>
    <w:rsid w:val="00E87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1D3A"/>
    <w:rPr>
      <w:rFonts w:ascii="Arial" w:hAnsi="Arial"/>
      <w:sz w:val="24"/>
    </w:rPr>
  </w:style>
  <w:style w:type="paragraph" w:styleId="Nagwek1">
    <w:name w:val="heading 1"/>
    <w:basedOn w:val="Normalny"/>
    <w:next w:val="Protokol"/>
    <w:link w:val="Nagwek1Znak"/>
    <w:autoRedefine/>
    <w:uiPriority w:val="9"/>
    <w:qFormat/>
    <w:rsid w:val="006343B0"/>
    <w:pPr>
      <w:keepNext/>
      <w:keepLines/>
      <w:numPr>
        <w:numId w:val="3"/>
      </w:numPr>
      <w:spacing w:before="360"/>
      <w:ind w:left="360"/>
      <w:outlineLvl w:val="0"/>
    </w:pPr>
    <w:rPr>
      <w:rFonts w:eastAsia="Times New Roman" w:cs="Arial"/>
      <w:b/>
      <w:bCs/>
      <w:smallCaps/>
      <w:color w:val="000000" w:themeColor="text1"/>
      <w:sz w:val="26"/>
      <w:szCs w:val="26"/>
      <w:lang w:eastAsia="pl-PL"/>
    </w:rPr>
  </w:style>
  <w:style w:type="paragraph" w:styleId="Nagwek2">
    <w:name w:val="heading 2"/>
    <w:basedOn w:val="Normalny"/>
    <w:next w:val="Normalny"/>
    <w:link w:val="Nagwek2Znak"/>
    <w:autoRedefine/>
    <w:uiPriority w:val="9"/>
    <w:unhideWhenUsed/>
    <w:qFormat/>
    <w:rsid w:val="00CD719E"/>
    <w:pPr>
      <w:keepNext/>
      <w:keepLines/>
      <w:spacing w:before="240" w:after="120"/>
      <w:outlineLvl w:val="1"/>
    </w:pPr>
    <w:rPr>
      <w:rFonts w:eastAsiaTheme="majorEastAsia" w:cstheme="majorBidi"/>
      <w:b/>
      <w:szCs w:val="26"/>
    </w:rPr>
  </w:style>
  <w:style w:type="paragraph" w:styleId="Nagwek3">
    <w:name w:val="heading 3"/>
    <w:basedOn w:val="Listanumerowana3"/>
    <w:link w:val="Nagwek3Znak"/>
    <w:autoRedefine/>
    <w:uiPriority w:val="9"/>
    <w:qFormat/>
    <w:rsid w:val="006343B0"/>
    <w:pPr>
      <w:numPr>
        <w:ilvl w:val="2"/>
        <w:numId w:val="23"/>
      </w:numPr>
      <w:spacing w:before="240" w:after="120"/>
      <w:outlineLvl w:val="2"/>
    </w:pPr>
    <w:rPr>
      <w:rFonts w:cs="Arial"/>
      <w:b/>
      <w:lang w:eastAsia="pl-PL"/>
    </w:rPr>
  </w:style>
  <w:style w:type="paragraph" w:styleId="Nagwek4">
    <w:name w:val="heading 4"/>
    <w:basedOn w:val="Normalny"/>
    <w:next w:val="Protokol"/>
    <w:link w:val="Nagwek4Znak"/>
    <w:autoRedefine/>
    <w:uiPriority w:val="9"/>
    <w:unhideWhenUsed/>
    <w:qFormat/>
    <w:rsid w:val="006343B0"/>
    <w:pPr>
      <w:keepNext/>
      <w:keepLines/>
      <w:numPr>
        <w:ilvl w:val="3"/>
        <w:numId w:val="23"/>
      </w:numPr>
      <w:spacing w:before="240" w:after="200"/>
      <w:outlineLvl w:val="3"/>
    </w:pPr>
    <w:rPr>
      <w:rFonts w:eastAsiaTheme="majorEastAsia" w:cstheme="majorBidi"/>
      <w:b/>
      <w:bCs/>
      <w:iCs/>
      <w:color w:val="000000" w:themeColor="text1"/>
    </w:rPr>
  </w:style>
  <w:style w:type="paragraph" w:styleId="Nagwek5">
    <w:name w:val="heading 5"/>
    <w:aliases w:val="Tabela nr"/>
    <w:basedOn w:val="Normalny"/>
    <w:next w:val="Normalny"/>
    <w:link w:val="Nagwek5Znak"/>
    <w:autoRedefine/>
    <w:uiPriority w:val="9"/>
    <w:unhideWhenUsed/>
    <w:qFormat/>
    <w:rsid w:val="00E70642"/>
    <w:pPr>
      <w:keepNext/>
      <w:keepLines/>
      <w:numPr>
        <w:numId w:val="8"/>
      </w:numPr>
      <w:tabs>
        <w:tab w:val="clear" w:pos="720"/>
      </w:tabs>
      <w:spacing w:before="200" w:after="120"/>
      <w:ind w:left="426" w:hanging="360"/>
      <w:outlineLvl w:val="4"/>
    </w:pPr>
    <w:rPr>
      <w:rFonts w:eastAsiaTheme="majorEastAsia" w:cstheme="majorBidi"/>
      <w:b/>
    </w:rPr>
  </w:style>
  <w:style w:type="paragraph" w:styleId="Nagwek6">
    <w:name w:val="heading 6"/>
    <w:basedOn w:val="Normalny"/>
    <w:next w:val="Normalny"/>
    <w:link w:val="Nagwek6Znak"/>
    <w:autoRedefine/>
    <w:uiPriority w:val="9"/>
    <w:unhideWhenUsed/>
    <w:qFormat/>
    <w:rsid w:val="00D570B0"/>
    <w:pPr>
      <w:keepNext/>
      <w:keepLines/>
      <w:spacing w:before="240" w:after="240" w:line="240" w:lineRule="auto"/>
      <w:outlineLvl w:val="5"/>
    </w:pPr>
    <w:rPr>
      <w:rFonts w:eastAsiaTheme="majorEastAsia" w:cstheme="majorBidi"/>
      <w:b/>
      <w:i/>
      <w:iCs/>
      <w:color w:val="323E4F" w:themeColor="text2"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tabeli">
    <w:name w:val="Tytuł tabeli"/>
    <w:basedOn w:val="Nagwek5"/>
    <w:next w:val="Normalny"/>
    <w:qFormat/>
    <w:rsid w:val="00AF329C"/>
    <w:pPr>
      <w:numPr>
        <w:numId w:val="2"/>
      </w:numPr>
      <w:spacing w:before="240"/>
      <w:contextualSpacing/>
    </w:pPr>
    <w:rPr>
      <w:rFonts w:eastAsiaTheme="minorEastAsia" w:cs="Arial"/>
      <w:b w:val="0"/>
      <w:lang w:eastAsia="pl-PL"/>
    </w:rPr>
  </w:style>
  <w:style w:type="character" w:customStyle="1" w:styleId="Nagwek5Znak">
    <w:name w:val="Nagłówek 5 Znak"/>
    <w:aliases w:val="Tabela nr Znak"/>
    <w:basedOn w:val="Domylnaczcionkaakapitu"/>
    <w:link w:val="Nagwek5"/>
    <w:uiPriority w:val="9"/>
    <w:rsid w:val="00E70642"/>
    <w:rPr>
      <w:rFonts w:ascii="Arial" w:eastAsiaTheme="majorEastAsia" w:hAnsi="Arial" w:cstheme="majorBidi"/>
      <w:b/>
    </w:rPr>
  </w:style>
  <w:style w:type="character" w:customStyle="1" w:styleId="Nagwek1Znak">
    <w:name w:val="Nagłówek 1 Znak"/>
    <w:basedOn w:val="Domylnaczcionkaakapitu"/>
    <w:link w:val="Nagwek1"/>
    <w:uiPriority w:val="9"/>
    <w:rsid w:val="006343B0"/>
    <w:rPr>
      <w:rFonts w:ascii="Arial" w:eastAsia="Times New Roman" w:hAnsi="Arial" w:cs="Arial"/>
      <w:b/>
      <w:bCs/>
      <w:smallCaps/>
      <w:color w:val="000000" w:themeColor="text1"/>
      <w:sz w:val="26"/>
      <w:szCs w:val="26"/>
      <w:lang w:eastAsia="pl-PL"/>
    </w:rPr>
  </w:style>
  <w:style w:type="character" w:customStyle="1" w:styleId="Nagwek3Znak">
    <w:name w:val="Nagłówek 3 Znak"/>
    <w:basedOn w:val="Domylnaczcionkaakapitu"/>
    <w:link w:val="Nagwek3"/>
    <w:uiPriority w:val="9"/>
    <w:rsid w:val="005C1DBE"/>
    <w:rPr>
      <w:rFonts w:ascii="Arial" w:hAnsi="Arial" w:cs="Arial"/>
      <w:b/>
      <w:lang w:eastAsia="pl-PL"/>
    </w:rPr>
  </w:style>
  <w:style w:type="paragraph" w:customStyle="1" w:styleId="Protokol">
    <w:name w:val="Protokol"/>
    <w:basedOn w:val="Normalny"/>
    <w:link w:val="ProtokolZnak"/>
    <w:qFormat/>
    <w:rsid w:val="008C484D"/>
    <w:pPr>
      <w:contextualSpacing/>
    </w:pPr>
    <w:rPr>
      <w:rFonts w:eastAsia="Times New Roman" w:cs="Arial"/>
      <w:lang w:eastAsia="pl-PL"/>
    </w:rPr>
  </w:style>
  <w:style w:type="character" w:customStyle="1" w:styleId="ProtokolZnak">
    <w:name w:val="Protokol Znak"/>
    <w:basedOn w:val="Domylnaczcionkaakapitu"/>
    <w:link w:val="Protokol"/>
    <w:rsid w:val="008C484D"/>
    <w:rPr>
      <w:rFonts w:ascii="Arial" w:eastAsia="Times New Roman" w:hAnsi="Arial" w:cs="Arial"/>
      <w:lang w:eastAsia="pl-PL"/>
    </w:rPr>
  </w:style>
  <w:style w:type="paragraph" w:customStyle="1" w:styleId="protok">
    <w:name w:val="protokół"/>
    <w:basedOn w:val="Normalny"/>
    <w:link w:val="protokZnak"/>
    <w:qFormat/>
    <w:rsid w:val="00E754F4"/>
    <w:pPr>
      <w:autoSpaceDE w:val="0"/>
      <w:autoSpaceDN w:val="0"/>
      <w:adjustRightInd w:val="0"/>
      <w:ind w:left="66"/>
      <w:jc w:val="right"/>
    </w:pPr>
    <w:rPr>
      <w:rFonts w:eastAsiaTheme="minorEastAsia" w:cs="Arial"/>
    </w:rPr>
  </w:style>
  <w:style w:type="character" w:customStyle="1" w:styleId="protokZnak">
    <w:name w:val="protokół Znak"/>
    <w:basedOn w:val="Domylnaczcionkaakapitu"/>
    <w:link w:val="protok"/>
    <w:rsid w:val="00E754F4"/>
    <w:rPr>
      <w:rFonts w:ascii="Arial" w:eastAsiaTheme="minorEastAsia" w:hAnsi="Arial" w:cs="Arial"/>
    </w:rPr>
  </w:style>
  <w:style w:type="character" w:customStyle="1" w:styleId="Nagwek2Znak">
    <w:name w:val="Nagłówek 2 Znak"/>
    <w:basedOn w:val="Domylnaczcionkaakapitu"/>
    <w:link w:val="Nagwek2"/>
    <w:uiPriority w:val="9"/>
    <w:rsid w:val="00CD719E"/>
    <w:rPr>
      <w:rFonts w:ascii="Arial" w:eastAsiaTheme="majorEastAsia" w:hAnsi="Arial" w:cstheme="majorBidi"/>
      <w:b/>
      <w:szCs w:val="26"/>
    </w:rPr>
  </w:style>
  <w:style w:type="paragraph" w:styleId="Listanumerowana3">
    <w:name w:val="List Number 3"/>
    <w:basedOn w:val="Normalny"/>
    <w:uiPriority w:val="99"/>
    <w:semiHidden/>
    <w:unhideWhenUsed/>
    <w:rsid w:val="005C1DBE"/>
    <w:pPr>
      <w:numPr>
        <w:numId w:val="12"/>
      </w:numPr>
      <w:contextualSpacing/>
    </w:pPr>
  </w:style>
  <w:style w:type="character" w:customStyle="1" w:styleId="Nagwek4Znak">
    <w:name w:val="Nagłówek 4 Znak"/>
    <w:basedOn w:val="Domylnaczcionkaakapitu"/>
    <w:link w:val="Nagwek4"/>
    <w:uiPriority w:val="9"/>
    <w:rsid w:val="001931A4"/>
    <w:rPr>
      <w:rFonts w:ascii="Arial" w:eastAsiaTheme="majorEastAsia" w:hAnsi="Arial" w:cstheme="majorBidi"/>
      <w:b/>
      <w:bCs/>
      <w:iCs/>
      <w:color w:val="000000" w:themeColor="text1"/>
    </w:rPr>
  </w:style>
  <w:style w:type="character" w:customStyle="1" w:styleId="Nagwek6Znak">
    <w:name w:val="Nagłówek 6 Znak"/>
    <w:basedOn w:val="Domylnaczcionkaakapitu"/>
    <w:link w:val="Nagwek6"/>
    <w:uiPriority w:val="9"/>
    <w:rsid w:val="00D570B0"/>
    <w:rPr>
      <w:rFonts w:ascii="Arial" w:eastAsiaTheme="majorEastAsia" w:hAnsi="Arial" w:cstheme="majorBidi"/>
      <w:b/>
      <w:i/>
      <w:iCs/>
      <w:color w:val="323E4F" w:themeColor="text2" w:themeShade="BF"/>
      <w:sz w:val="24"/>
    </w:rPr>
  </w:style>
  <w:style w:type="paragraph" w:customStyle="1" w:styleId="Przypisdolny">
    <w:name w:val="Przypis dolny"/>
    <w:basedOn w:val="Tekstprzypisudolnego"/>
    <w:link w:val="PrzypisdolnyZnak"/>
    <w:autoRedefine/>
    <w:qFormat/>
    <w:rsid w:val="006343B0"/>
    <w:rPr>
      <w:rFonts w:eastAsia="Times New Roman" w:cs="Times New Roman"/>
      <w:sz w:val="16"/>
      <w:lang w:eastAsia="pl-PL"/>
    </w:rPr>
  </w:style>
  <w:style w:type="character" w:customStyle="1" w:styleId="PrzypisdolnyZnak">
    <w:name w:val="Przypis dolny Znak"/>
    <w:basedOn w:val="TekstprzypisudolnegoZnak"/>
    <w:link w:val="Przypisdolny"/>
    <w:rsid w:val="006343B0"/>
    <w:rPr>
      <w:rFonts w:ascii="Arial" w:eastAsia="Times New Roman" w:hAnsi="Arial" w:cs="Times New Roman"/>
      <w:sz w:val="16"/>
      <w:szCs w:val="20"/>
      <w:lang w:eastAsia="pl-PL"/>
    </w:rPr>
  </w:style>
  <w:style w:type="paragraph" w:styleId="Tekstprzypisudolnego">
    <w:name w:val="footnote text"/>
    <w:basedOn w:val="Normalny"/>
    <w:link w:val="TekstprzypisudolnegoZnak"/>
    <w:uiPriority w:val="99"/>
    <w:unhideWhenUsed/>
    <w:qFormat/>
    <w:rsid w:val="008C484D"/>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8C484D"/>
    <w:rPr>
      <w:rFonts w:ascii="Arial" w:hAnsi="Arial"/>
      <w:sz w:val="20"/>
      <w:szCs w:val="20"/>
    </w:rPr>
  </w:style>
  <w:style w:type="paragraph" w:customStyle="1" w:styleId="MiejscowoData">
    <w:name w:val="Miejscowość Data"/>
    <w:basedOn w:val="Normalny"/>
    <w:qFormat/>
    <w:rsid w:val="00E21D3A"/>
    <w:pPr>
      <w:spacing w:after="660" w:line="240" w:lineRule="auto"/>
      <w:jc w:val="right"/>
    </w:pPr>
  </w:style>
  <w:style w:type="paragraph" w:customStyle="1" w:styleId="Piecztka1">
    <w:name w:val="Pieczątka 1"/>
    <w:basedOn w:val="Normalny"/>
    <w:qFormat/>
    <w:rsid w:val="00E21D3A"/>
    <w:pPr>
      <w:spacing w:after="0" w:line="240" w:lineRule="auto"/>
      <w:ind w:left="709" w:right="5103"/>
      <w:jc w:val="center"/>
    </w:pPr>
    <w:rPr>
      <w:rFonts w:ascii="Arial Black" w:hAnsi="Arial Black" w:cs="Aharoni"/>
      <w:b/>
      <w:sz w:val="22"/>
      <w:szCs w:val="20"/>
    </w:rPr>
  </w:style>
  <w:style w:type="paragraph" w:customStyle="1" w:styleId="Piecztka2">
    <w:name w:val="Pieczątka 2"/>
    <w:basedOn w:val="Normalny"/>
    <w:qFormat/>
    <w:rsid w:val="00E21D3A"/>
    <w:pPr>
      <w:spacing w:after="0" w:line="240" w:lineRule="auto"/>
      <w:ind w:left="709" w:right="5103"/>
      <w:jc w:val="center"/>
    </w:pPr>
    <w:rPr>
      <w:i/>
      <w:sz w:val="22"/>
      <w:szCs w:val="20"/>
    </w:rPr>
  </w:style>
  <w:style w:type="paragraph" w:customStyle="1" w:styleId="Adresat">
    <w:name w:val="Adresat"/>
    <w:basedOn w:val="Normalny"/>
    <w:qFormat/>
    <w:rsid w:val="00E21D3A"/>
    <w:pPr>
      <w:spacing w:after="720" w:line="240" w:lineRule="auto"/>
      <w:ind w:left="4820"/>
      <w:contextualSpacing/>
    </w:pPr>
    <w:rPr>
      <w:sz w:val="28"/>
      <w:szCs w:val="28"/>
    </w:rPr>
  </w:style>
  <w:style w:type="paragraph" w:customStyle="1" w:styleId="Trepisma">
    <w:name w:val="Treść pisma"/>
    <w:basedOn w:val="Normalny"/>
    <w:qFormat/>
    <w:rsid w:val="00E21D3A"/>
    <w:pPr>
      <w:spacing w:after="240" w:line="240" w:lineRule="auto"/>
      <w:ind w:left="709"/>
      <w:contextualSpacing/>
      <w:jc w:val="both"/>
    </w:pPr>
  </w:style>
  <w:style w:type="paragraph" w:customStyle="1" w:styleId="Stanowisko">
    <w:name w:val="Stanowisko"/>
    <w:basedOn w:val="Normalny"/>
    <w:qFormat/>
    <w:rsid w:val="00E21D3A"/>
    <w:pPr>
      <w:spacing w:before="560" w:after="560" w:line="240" w:lineRule="auto"/>
      <w:ind w:left="5103"/>
      <w:jc w:val="center"/>
    </w:pPr>
  </w:style>
  <w:style w:type="paragraph" w:customStyle="1" w:styleId="Imiinazwisko">
    <w:name w:val="Imię i nazwisko"/>
    <w:basedOn w:val="Normalny"/>
    <w:qFormat/>
    <w:rsid w:val="00E21D3A"/>
    <w:pPr>
      <w:ind w:left="5103"/>
      <w:contextualSpacing/>
      <w:jc w:val="center"/>
    </w:pPr>
  </w:style>
  <w:style w:type="paragraph" w:customStyle="1" w:styleId="Znaksprawy">
    <w:name w:val="Znak sprawy"/>
    <w:basedOn w:val="Normalny"/>
    <w:qFormat/>
    <w:rsid w:val="00E21D3A"/>
    <w:pPr>
      <w:spacing w:before="240" w:after="400" w:line="240" w:lineRule="auto"/>
      <w:ind w:left="709"/>
    </w:pPr>
  </w:style>
  <w:style w:type="paragraph" w:styleId="Nagwek">
    <w:name w:val="header"/>
    <w:basedOn w:val="Normalny"/>
    <w:link w:val="NagwekZnak"/>
    <w:uiPriority w:val="99"/>
    <w:unhideWhenUsed/>
    <w:rsid w:val="00E21D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D3A"/>
    <w:rPr>
      <w:rFonts w:ascii="Arial" w:hAnsi="Arial"/>
      <w:sz w:val="24"/>
    </w:rPr>
  </w:style>
  <w:style w:type="paragraph" w:styleId="Stopka">
    <w:name w:val="footer"/>
    <w:basedOn w:val="Normalny"/>
    <w:link w:val="StopkaZnak"/>
    <w:uiPriority w:val="99"/>
    <w:unhideWhenUsed/>
    <w:rsid w:val="00E21D3A"/>
    <w:pPr>
      <w:tabs>
        <w:tab w:val="center" w:pos="4536"/>
        <w:tab w:val="right" w:pos="9072"/>
      </w:tabs>
      <w:spacing w:after="0" w:line="240" w:lineRule="auto"/>
      <w:jc w:val="right"/>
    </w:pPr>
    <w:rPr>
      <w:rFonts w:asciiTheme="minorHAnsi" w:eastAsiaTheme="majorEastAsia" w:hAnsiTheme="minorHAnsi" w:cstheme="majorBidi"/>
      <w:szCs w:val="24"/>
    </w:rPr>
  </w:style>
  <w:style w:type="character" w:customStyle="1" w:styleId="StopkaZnak">
    <w:name w:val="Stopka Znak"/>
    <w:basedOn w:val="Domylnaczcionkaakapitu"/>
    <w:link w:val="Stopka"/>
    <w:uiPriority w:val="99"/>
    <w:rsid w:val="00E21D3A"/>
    <w:rPr>
      <w:rFonts w:eastAsiaTheme="majorEastAsia" w:cstheme="majorBidi"/>
      <w:sz w:val="24"/>
      <w:szCs w:val="24"/>
    </w:rPr>
  </w:style>
  <w:style w:type="paragraph" w:customStyle="1" w:styleId="Kocwka">
    <w:name w:val="Końcówka"/>
    <w:basedOn w:val="Normalny"/>
    <w:qFormat/>
    <w:rsid w:val="00E21D3A"/>
    <w:rPr>
      <w:sz w:val="2"/>
    </w:rPr>
  </w:style>
  <w:style w:type="paragraph" w:customStyle="1" w:styleId="PodpElektr">
    <w:name w:val="PodpElektr"/>
    <w:basedOn w:val="Imiinazwisko"/>
    <w:qFormat/>
    <w:rsid w:val="00E21D3A"/>
    <w:pPr>
      <w:spacing w:after="0"/>
    </w:pPr>
    <w:rPr>
      <w:sz w:val="16"/>
      <w:szCs w:val="16"/>
    </w:rPr>
  </w:style>
  <w:style w:type="character" w:styleId="Odwoanieprzypisudolnego">
    <w:name w:val="footnote reference"/>
    <w:basedOn w:val="Domylnaczcionkaakapitu"/>
    <w:uiPriority w:val="99"/>
    <w:unhideWhenUsed/>
    <w:rsid w:val="00E21D3A"/>
    <w:rPr>
      <w:vertAlign w:val="superscript"/>
    </w:rPr>
  </w:style>
  <w:style w:type="paragraph" w:styleId="Akapitzlist">
    <w:name w:val="List Paragraph"/>
    <w:basedOn w:val="Normalny"/>
    <w:uiPriority w:val="34"/>
    <w:qFormat/>
    <w:rsid w:val="00E21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8843</Words>
  <Characters>53062</Characters>
  <Application>Microsoft Office Word</Application>
  <DocSecurity>4</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2024-10-29T13:31:00Z</dcterms:created>
  <dcterms:modified xsi:type="dcterms:W3CDTF">2024-10-29T13:31:00Z</dcterms:modified>
</cp:coreProperties>
</file>