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C987" w14:textId="77777777" w:rsidR="00CE7928" w:rsidRPr="003206F6" w:rsidRDefault="00CE7928" w:rsidP="00B00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99006623"/>
    </w:p>
    <w:bookmarkEnd w:id="0"/>
    <w:p w14:paraId="599DDFE4" w14:textId="25A5E410" w:rsidR="00B00FFF" w:rsidRDefault="00CE7928" w:rsidP="00B00F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06F6">
        <w:rPr>
          <w:rFonts w:ascii="Arial" w:hAnsi="Arial" w:cs="Arial"/>
          <w:sz w:val="24"/>
          <w:szCs w:val="24"/>
        </w:rPr>
        <w:t>U C H W A Ł A  N R  L/630/22</w:t>
      </w:r>
    </w:p>
    <w:p w14:paraId="63DD50DC" w14:textId="18A3057F" w:rsidR="00CE7928" w:rsidRPr="003206F6" w:rsidRDefault="00CE7928" w:rsidP="00B00F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06F6">
        <w:rPr>
          <w:rFonts w:ascii="Arial" w:hAnsi="Arial" w:cs="Arial"/>
          <w:sz w:val="24"/>
          <w:szCs w:val="24"/>
        </w:rPr>
        <w:t>RADY MIASTA PIOTRKOWA TRYBUNALSKIEGO</w:t>
      </w:r>
    </w:p>
    <w:p w14:paraId="4116A08B" w14:textId="682AF89A" w:rsidR="00B00FFF" w:rsidRDefault="00CE7928" w:rsidP="00B00F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06F6">
        <w:rPr>
          <w:rFonts w:ascii="Arial" w:hAnsi="Arial" w:cs="Arial"/>
          <w:sz w:val="24"/>
          <w:szCs w:val="24"/>
        </w:rPr>
        <w:t>z dnia 27 kwietnia 2022 r.</w:t>
      </w:r>
    </w:p>
    <w:p w14:paraId="4494A86B" w14:textId="1C19D24F" w:rsidR="00CE7928" w:rsidRPr="003206F6" w:rsidRDefault="00CE7928" w:rsidP="00B00F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06F6">
        <w:rPr>
          <w:rFonts w:ascii="Arial" w:hAnsi="Arial" w:cs="Arial"/>
          <w:sz w:val="24"/>
          <w:szCs w:val="24"/>
        </w:rPr>
        <w:t>w sprawie zmiany Wieloletniej Prognozy Finansowej</w:t>
      </w:r>
    </w:p>
    <w:p w14:paraId="160DE0BF" w14:textId="77777777" w:rsidR="00CE7928" w:rsidRDefault="00CE7928" w:rsidP="00B00F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06F6">
        <w:rPr>
          <w:rFonts w:ascii="Arial" w:hAnsi="Arial" w:cs="Arial"/>
          <w:sz w:val="24"/>
          <w:szCs w:val="24"/>
        </w:rPr>
        <w:t>Miasta Piotrkowa Trybunalskiego</w:t>
      </w:r>
    </w:p>
    <w:p w14:paraId="7491F2F4" w14:textId="77777777" w:rsidR="00B00FFF" w:rsidRPr="003206F6" w:rsidRDefault="00B00FFF" w:rsidP="00CE7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73CAFE" w14:textId="77777777" w:rsidR="00CE7928" w:rsidRDefault="00CE7928" w:rsidP="00CE7928">
      <w:pPr>
        <w:spacing w:after="0"/>
        <w:rPr>
          <w:rFonts w:ascii="Arial" w:hAnsi="Arial" w:cs="Arial"/>
          <w:bCs/>
          <w:sz w:val="24"/>
          <w:szCs w:val="24"/>
        </w:rPr>
      </w:pPr>
      <w:r w:rsidRPr="003206F6">
        <w:rPr>
          <w:rFonts w:ascii="Arial" w:hAnsi="Arial" w:cs="Arial"/>
          <w:sz w:val="24"/>
          <w:szCs w:val="24"/>
        </w:rPr>
        <w:t>Na podstawie art. 18 ust. 2 pkt 6 i 15 ustawy z dnia 8 marca 1990 r. o samorządzie gminnym: (Dz. U. z 2022 r. poz. 559, poz. 583) oraz art. 226, art. 227, art. 228, art. 230 ust. 6, art. 242, art. 243, art. 258 ustawy z dnia 27 sierpnia 2009 r. o finansach publicznych (</w:t>
      </w:r>
      <w:r w:rsidRPr="003206F6">
        <w:rPr>
          <w:rFonts w:ascii="Arial" w:hAnsi="Arial" w:cs="Arial"/>
          <w:color w:val="000000" w:themeColor="text1"/>
          <w:sz w:val="24"/>
          <w:szCs w:val="24"/>
        </w:rPr>
        <w:t>Dz. U. z 2021 r. poz. 305, poz. 1236, poz. 1535, poz. 1773, poz. 1927, poz. 1981, poz. 2270, z 2022 r. poz. 583</w:t>
      </w:r>
      <w:r>
        <w:rPr>
          <w:rFonts w:ascii="Arial" w:hAnsi="Arial" w:cs="Arial"/>
          <w:color w:val="000000" w:themeColor="text1"/>
          <w:sz w:val="24"/>
          <w:szCs w:val="24"/>
        </w:rPr>
        <w:t>, poz.655</w:t>
      </w:r>
      <w:r w:rsidRPr="003206F6">
        <w:rPr>
          <w:rFonts w:ascii="Arial" w:hAnsi="Arial" w:cs="Arial"/>
          <w:color w:val="000000"/>
          <w:sz w:val="24"/>
          <w:szCs w:val="24"/>
        </w:rPr>
        <w:t xml:space="preserve">)  </w:t>
      </w:r>
      <w:r w:rsidRPr="003206F6">
        <w:rPr>
          <w:rFonts w:ascii="Arial" w:hAnsi="Arial" w:cs="Arial"/>
          <w:bCs/>
          <w:sz w:val="24"/>
          <w:szCs w:val="24"/>
        </w:rPr>
        <w:t>oraz art. 111 ustawy z dnia 12 marca 2022 o pomocy obywatelom Ukrainy w związku z konfliktem zbrojnym na terytorium tego państwa (Dz.U. z 2022 r. poz. 583, poz. 584</w:t>
      </w:r>
      <w:r>
        <w:rPr>
          <w:rFonts w:ascii="Arial" w:hAnsi="Arial" w:cs="Arial"/>
          <w:bCs/>
          <w:sz w:val="24"/>
          <w:szCs w:val="24"/>
        </w:rPr>
        <w:t>, poz. 682, poz. 683, poz. 684, poz. 830</w:t>
      </w:r>
      <w:r w:rsidRPr="003206F6">
        <w:rPr>
          <w:rFonts w:ascii="Arial" w:hAnsi="Arial" w:cs="Arial"/>
          <w:bCs/>
          <w:sz w:val="24"/>
          <w:szCs w:val="24"/>
        </w:rPr>
        <w:t xml:space="preserve">) </w:t>
      </w:r>
      <w:r w:rsidRPr="003206F6">
        <w:rPr>
          <w:rFonts w:ascii="Arial" w:hAnsi="Arial" w:cs="Arial"/>
          <w:bCs/>
          <w:spacing w:val="60"/>
          <w:sz w:val="24"/>
          <w:szCs w:val="24"/>
        </w:rPr>
        <w:t>uchwala się</w:t>
      </w:r>
      <w:r w:rsidRPr="003206F6">
        <w:rPr>
          <w:rFonts w:ascii="Arial" w:hAnsi="Arial" w:cs="Arial"/>
          <w:bCs/>
          <w:sz w:val="24"/>
          <w:szCs w:val="24"/>
        </w:rPr>
        <w:t>,  co następuje:</w:t>
      </w:r>
    </w:p>
    <w:p w14:paraId="1E225FF2" w14:textId="77777777" w:rsidR="00B00FFF" w:rsidRPr="003206F6" w:rsidRDefault="00B00FFF" w:rsidP="00CE79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4E3F3050" w14:textId="2E01F9B9" w:rsidR="00CE7928" w:rsidRPr="003206F6" w:rsidRDefault="00CE7928" w:rsidP="00CE7928">
      <w:pPr>
        <w:pStyle w:val="ZalBT6mm"/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3206F6">
        <w:rPr>
          <w:color w:val="000000" w:themeColor="text1"/>
          <w:sz w:val="24"/>
          <w:szCs w:val="24"/>
        </w:rPr>
        <w:t>§ 1. 1. Prognoza kwoty długu i spłat zobowiązań</w:t>
      </w:r>
      <w:r w:rsidRPr="003206F6">
        <w:rPr>
          <w:i/>
          <w:iCs/>
          <w:color w:val="000000" w:themeColor="text1"/>
          <w:sz w:val="24"/>
          <w:szCs w:val="24"/>
        </w:rPr>
        <w:t>,</w:t>
      </w:r>
      <w:r w:rsidRPr="003206F6">
        <w:rPr>
          <w:color w:val="000000" w:themeColor="text1"/>
          <w:sz w:val="24"/>
          <w:szCs w:val="24"/>
        </w:rPr>
        <w:t xml:space="preserve"> stanow</w:t>
      </w:r>
      <w:r w:rsidR="00B00FFF">
        <w:rPr>
          <w:color w:val="000000" w:themeColor="text1"/>
          <w:sz w:val="24"/>
          <w:szCs w:val="24"/>
        </w:rPr>
        <w:t xml:space="preserve">iąca załącznik nr 1 do Uchwały  </w:t>
      </w:r>
      <w:r w:rsidRPr="003206F6">
        <w:rPr>
          <w:color w:val="000000" w:themeColor="text1"/>
          <w:sz w:val="24"/>
          <w:szCs w:val="24"/>
        </w:rPr>
        <w:t>Nr XLIX/608/22 Rady Miasta Piotrkowa Trybunalskiego z dnia  30 marca 2022 r. w sprawie zmiany Wieloletniej Prognozy Finansowej Miasta Piotrkowa Trybunalskiego, otrzymuje brzmienie</w:t>
      </w:r>
      <w:r w:rsidRPr="003206F6">
        <w:rPr>
          <w:i/>
          <w:iCs/>
          <w:color w:val="000000" w:themeColor="text1"/>
          <w:sz w:val="24"/>
          <w:szCs w:val="24"/>
        </w:rPr>
        <w:t xml:space="preserve"> </w:t>
      </w:r>
      <w:r w:rsidRPr="003206F6">
        <w:rPr>
          <w:color w:val="000000" w:themeColor="text1"/>
          <w:sz w:val="24"/>
          <w:szCs w:val="24"/>
        </w:rPr>
        <w:t>zgodne z załącznikiem Nr 1 do niniejszej uchwały.</w:t>
      </w:r>
    </w:p>
    <w:p w14:paraId="692D562F" w14:textId="77777777" w:rsidR="00CE7928" w:rsidRDefault="00CE7928" w:rsidP="00CE7928">
      <w:pPr>
        <w:pStyle w:val="ZalBT6mm"/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3206F6">
        <w:rPr>
          <w:color w:val="000000" w:themeColor="text1"/>
          <w:sz w:val="24"/>
          <w:szCs w:val="24"/>
        </w:rPr>
        <w:t>2. Wykaz przedsięwzięć</w:t>
      </w:r>
      <w:r w:rsidRPr="003206F6">
        <w:rPr>
          <w:i/>
          <w:iCs/>
          <w:color w:val="000000" w:themeColor="text1"/>
          <w:sz w:val="24"/>
          <w:szCs w:val="24"/>
        </w:rPr>
        <w:t>,</w:t>
      </w:r>
      <w:r w:rsidRPr="003206F6">
        <w:rPr>
          <w:color w:val="000000" w:themeColor="text1"/>
          <w:sz w:val="24"/>
          <w:szCs w:val="24"/>
        </w:rPr>
        <w:t xml:space="preserve"> stanowiący załącznik nr 2 do Uchwały Nr XLIX/608/22 Rady Miasta Piotrkowa Trybunalskiego z dnia  30 marca 2022 r. w sprawie przyjęcia Wieloletniej Prognozy Finansowej Miasta Piotrkowa Trybunalskiego,</w:t>
      </w:r>
      <w:r w:rsidRPr="003206F6">
        <w:rPr>
          <w:iCs/>
          <w:color w:val="000000" w:themeColor="text1"/>
          <w:sz w:val="24"/>
          <w:szCs w:val="24"/>
        </w:rPr>
        <w:t xml:space="preserve"> </w:t>
      </w:r>
      <w:r w:rsidRPr="003206F6">
        <w:rPr>
          <w:color w:val="000000" w:themeColor="text1"/>
          <w:sz w:val="24"/>
          <w:szCs w:val="24"/>
        </w:rPr>
        <w:t>otrzymuje brzmienie</w:t>
      </w:r>
      <w:r w:rsidRPr="003206F6">
        <w:rPr>
          <w:i/>
          <w:iCs/>
          <w:color w:val="000000" w:themeColor="text1"/>
          <w:sz w:val="24"/>
          <w:szCs w:val="24"/>
        </w:rPr>
        <w:t xml:space="preserve"> </w:t>
      </w:r>
      <w:r w:rsidRPr="003206F6">
        <w:rPr>
          <w:color w:val="000000" w:themeColor="text1"/>
          <w:sz w:val="24"/>
          <w:szCs w:val="24"/>
        </w:rPr>
        <w:t>zgodne z załącznikiem Nr 2 do niniejszej uchwały.</w:t>
      </w:r>
    </w:p>
    <w:p w14:paraId="1CD5E907" w14:textId="77777777" w:rsidR="00B00FFF" w:rsidRPr="003206F6" w:rsidRDefault="00B00FFF" w:rsidP="00CE7928">
      <w:pPr>
        <w:pStyle w:val="ZalBT6mm"/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0B504336" w14:textId="77777777" w:rsidR="00CE7928" w:rsidRPr="003206F6" w:rsidRDefault="00CE7928" w:rsidP="00CE7928">
      <w:pPr>
        <w:pStyle w:val="ZalBT6mm"/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3206F6">
        <w:rPr>
          <w:color w:val="000000" w:themeColor="text1"/>
          <w:sz w:val="24"/>
          <w:szCs w:val="24"/>
        </w:rPr>
        <w:t>§ 2. 1. Upoważnia się Prezydenta Miasta do:</w:t>
      </w:r>
    </w:p>
    <w:p w14:paraId="212F24F1" w14:textId="77777777" w:rsidR="00CE7928" w:rsidRPr="003206F6" w:rsidRDefault="00CE7928" w:rsidP="00CE7928">
      <w:pPr>
        <w:pStyle w:val="ZalBT6mm"/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3206F6">
        <w:rPr>
          <w:color w:val="000000" w:themeColor="text1"/>
          <w:sz w:val="24"/>
          <w:szCs w:val="24"/>
        </w:rPr>
        <w:t>1) zaciągania zobowiązań związanych z realizacją przedsięwzięć, określonych załącznikiem Nr 2 do uchwały.</w:t>
      </w:r>
    </w:p>
    <w:p w14:paraId="28A8FF7A" w14:textId="117FABCC" w:rsidR="00CE7928" w:rsidRPr="003206F6" w:rsidRDefault="00CE7928" w:rsidP="00CE7928">
      <w:pPr>
        <w:pStyle w:val="ZalBT6mm"/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3206F6">
        <w:rPr>
          <w:color w:val="000000" w:themeColor="text1"/>
          <w:sz w:val="24"/>
          <w:szCs w:val="24"/>
        </w:rPr>
        <w:t xml:space="preserve">2) zaciągania zobowiązań z tytułu umów, których realizacja w roku budżetowym </w:t>
      </w:r>
      <w:r w:rsidR="00B00FFF">
        <w:rPr>
          <w:color w:val="000000" w:themeColor="text1"/>
          <w:sz w:val="24"/>
          <w:szCs w:val="24"/>
        </w:rPr>
        <w:br/>
      </w:r>
      <w:r w:rsidRPr="003206F6">
        <w:rPr>
          <w:color w:val="000000" w:themeColor="text1"/>
          <w:sz w:val="24"/>
          <w:szCs w:val="24"/>
        </w:rPr>
        <w:t xml:space="preserve">i w latach następnych jest niezbędna do zapewnienia ciągłości działania jednostki </w:t>
      </w:r>
      <w:r w:rsidR="00B00FFF">
        <w:rPr>
          <w:color w:val="000000" w:themeColor="text1"/>
          <w:sz w:val="24"/>
          <w:szCs w:val="24"/>
        </w:rPr>
        <w:br/>
      </w:r>
      <w:r w:rsidRPr="003206F6">
        <w:rPr>
          <w:color w:val="000000" w:themeColor="text1"/>
          <w:sz w:val="24"/>
          <w:szCs w:val="24"/>
        </w:rPr>
        <w:t>i z których wynikające płatności wykraczają poza rok budżetowy.</w:t>
      </w:r>
    </w:p>
    <w:p w14:paraId="765DC18F" w14:textId="17F7D6D5" w:rsidR="00CE7928" w:rsidRDefault="00CE7928" w:rsidP="00CE7928">
      <w:pPr>
        <w:pStyle w:val="ZalBT6mm"/>
        <w:spacing w:line="240" w:lineRule="auto"/>
        <w:ind w:firstLine="0"/>
        <w:jc w:val="left"/>
        <w:rPr>
          <w:sz w:val="24"/>
          <w:szCs w:val="24"/>
        </w:rPr>
      </w:pPr>
      <w:r w:rsidRPr="003206F6">
        <w:rPr>
          <w:sz w:val="24"/>
          <w:szCs w:val="24"/>
        </w:rPr>
        <w:t>2. Upoważnia się Prezydenta Miasta w celu realizacji zadań związanych z pomocą obywatelom Ukrainy w związku z konfliktem zbrojnym na terytorium tego państwa do dokonywania</w:t>
      </w:r>
      <w:r w:rsidRPr="003206F6">
        <w:rPr>
          <w:color w:val="000000" w:themeColor="text1"/>
          <w:sz w:val="24"/>
          <w:szCs w:val="24"/>
        </w:rPr>
        <w:t xml:space="preserve"> </w:t>
      </w:r>
      <w:r w:rsidRPr="003206F6">
        <w:rPr>
          <w:sz w:val="24"/>
          <w:szCs w:val="24"/>
        </w:rPr>
        <w:t>zmian w wieloletniej pr</w:t>
      </w:r>
      <w:r w:rsidR="00B00FFF">
        <w:rPr>
          <w:sz w:val="24"/>
          <w:szCs w:val="24"/>
        </w:rPr>
        <w:t xml:space="preserve">ognozie finansowej związanych </w:t>
      </w:r>
      <w:r w:rsidR="00B00FFF">
        <w:rPr>
          <w:sz w:val="24"/>
          <w:szCs w:val="24"/>
        </w:rPr>
        <w:br/>
        <w:t xml:space="preserve">z </w:t>
      </w:r>
      <w:r w:rsidRPr="003206F6">
        <w:rPr>
          <w:sz w:val="24"/>
          <w:szCs w:val="24"/>
        </w:rPr>
        <w:t>wprowadzeniem nowych inwestycji lub zakupów inwestycyjnych, o ile zmiana ta nie pogorszy wyniku budżetu.</w:t>
      </w:r>
    </w:p>
    <w:p w14:paraId="55597B92" w14:textId="77777777" w:rsidR="00B00FFF" w:rsidRPr="003206F6" w:rsidRDefault="00B00FFF" w:rsidP="00CE7928">
      <w:pPr>
        <w:pStyle w:val="ZalBT6mm"/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05D78DC7" w14:textId="77777777" w:rsidR="00CE7928" w:rsidRDefault="00CE7928" w:rsidP="00CE7928">
      <w:pPr>
        <w:pStyle w:val="ZalBT6mm"/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3206F6">
        <w:rPr>
          <w:color w:val="000000" w:themeColor="text1"/>
          <w:sz w:val="24"/>
          <w:szCs w:val="24"/>
        </w:rPr>
        <w:t>§ 3. Wykonanie uchwały powierza się Prezydentowi Miasta.</w:t>
      </w:r>
    </w:p>
    <w:p w14:paraId="64E67B8F" w14:textId="77777777" w:rsidR="00B00FFF" w:rsidRPr="003206F6" w:rsidRDefault="00B00FFF" w:rsidP="00CE7928">
      <w:pPr>
        <w:pStyle w:val="ZalBT6mm"/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368BD369" w14:textId="53900E07" w:rsidR="00CE7928" w:rsidRPr="003206F6" w:rsidRDefault="00CE7928" w:rsidP="00CE7928">
      <w:pPr>
        <w:rPr>
          <w:rFonts w:ascii="Arial" w:hAnsi="Arial" w:cs="Arial"/>
          <w:sz w:val="24"/>
          <w:szCs w:val="24"/>
        </w:rPr>
      </w:pPr>
      <w:r w:rsidRPr="003206F6">
        <w:rPr>
          <w:rFonts w:ascii="Arial" w:hAnsi="Arial" w:cs="Arial"/>
          <w:sz w:val="24"/>
          <w:szCs w:val="24"/>
        </w:rPr>
        <w:t>§ 4. Uchwała wchodzi w życie z dniem podjęcia.</w:t>
      </w:r>
    </w:p>
    <w:p w14:paraId="2D3A363E" w14:textId="77777777" w:rsidR="00CE7928" w:rsidRDefault="00CE7928" w:rsidP="00CE7928"/>
    <w:p w14:paraId="4BE26691" w14:textId="77777777" w:rsidR="00F57BE2" w:rsidRPr="003206F6" w:rsidRDefault="00F57BE2">
      <w:pPr>
        <w:rPr>
          <w:rFonts w:ascii="Arial" w:hAnsi="Arial" w:cs="Arial"/>
          <w:sz w:val="24"/>
          <w:szCs w:val="24"/>
        </w:rPr>
      </w:pPr>
    </w:p>
    <w:sectPr w:rsidR="00F57BE2" w:rsidRPr="0032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6F6"/>
    <w:rsid w:val="003206F6"/>
    <w:rsid w:val="00472A52"/>
    <w:rsid w:val="008B580E"/>
    <w:rsid w:val="00995D10"/>
    <w:rsid w:val="009C6FDE"/>
    <w:rsid w:val="00B00FFF"/>
    <w:rsid w:val="00CE7928"/>
    <w:rsid w:val="00F5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BE49"/>
  <w15:chartTrackingRefBased/>
  <w15:docId w15:val="{97E93A37-C6DC-4C1E-A368-20942E13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6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3206F6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Jarzębska Monika</cp:lastModifiedBy>
  <cp:revision>2</cp:revision>
  <dcterms:created xsi:type="dcterms:W3CDTF">2023-08-10T06:30:00Z</dcterms:created>
  <dcterms:modified xsi:type="dcterms:W3CDTF">2023-08-10T06:30:00Z</dcterms:modified>
</cp:coreProperties>
</file>