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Pr="006C3C9D" w:rsidRDefault="008E12A4">
      <w:pPr>
        <w:jc w:val="center"/>
        <w:rPr>
          <w:rFonts w:ascii="Arial" w:eastAsia="Arial" w:hAnsi="Arial" w:cs="Arial"/>
          <w:caps/>
          <w:sz w:val="24"/>
        </w:rPr>
      </w:pPr>
      <w:bookmarkStart w:id="0" w:name="_GoBack"/>
      <w:bookmarkEnd w:id="0"/>
      <w:r w:rsidRPr="006C3C9D">
        <w:rPr>
          <w:rFonts w:ascii="Arial" w:eastAsia="Arial" w:hAnsi="Arial" w:cs="Arial"/>
          <w:caps/>
          <w:sz w:val="24"/>
        </w:rPr>
        <w:t>Uchwała Nr LVII/727/22</w:t>
      </w:r>
      <w:r w:rsidRPr="006C3C9D">
        <w:rPr>
          <w:rFonts w:ascii="Arial" w:eastAsia="Arial" w:hAnsi="Arial" w:cs="Arial"/>
          <w:caps/>
          <w:sz w:val="24"/>
        </w:rPr>
        <w:br/>
        <w:t>Rady Miasta Piotrkowa Trybunalskiego</w:t>
      </w:r>
    </w:p>
    <w:p w:rsidR="00A77B3E" w:rsidRPr="006C3C9D" w:rsidRDefault="008E12A4">
      <w:pPr>
        <w:spacing w:before="280" w:after="280"/>
        <w:jc w:val="center"/>
        <w:rPr>
          <w:rFonts w:ascii="Arial" w:eastAsia="Arial" w:hAnsi="Arial" w:cs="Arial"/>
          <w:caps/>
          <w:sz w:val="24"/>
        </w:rPr>
      </w:pPr>
      <w:r w:rsidRPr="006C3C9D">
        <w:rPr>
          <w:rFonts w:ascii="Arial" w:eastAsia="Arial" w:hAnsi="Arial" w:cs="Arial"/>
          <w:sz w:val="24"/>
        </w:rPr>
        <w:t>z dnia 30 listopada 2022 r.</w:t>
      </w:r>
    </w:p>
    <w:p w:rsidR="00A77B3E" w:rsidRPr="006C3C9D" w:rsidRDefault="008E12A4">
      <w:pPr>
        <w:keepNext/>
        <w:spacing w:after="480"/>
        <w:jc w:val="center"/>
        <w:rPr>
          <w:rFonts w:ascii="Arial" w:eastAsia="Arial" w:hAnsi="Arial" w:cs="Arial"/>
          <w:sz w:val="24"/>
        </w:rPr>
      </w:pPr>
      <w:r w:rsidRPr="006C3C9D">
        <w:rPr>
          <w:rFonts w:ascii="Arial" w:eastAsia="Arial" w:hAnsi="Arial" w:cs="Arial"/>
          <w:sz w:val="24"/>
        </w:rPr>
        <w:t>w sprawie zmiany  Uchwały Nr XXV/458/12 Rady Miasta Piotrkowa Trybunalskiego w sprawie uchwalenia Statutu Miasta Piotrkowa Trybunalskiego</w:t>
      </w:r>
    </w:p>
    <w:p w:rsidR="00A77B3E" w:rsidRPr="006C3C9D" w:rsidRDefault="008E12A4">
      <w:pPr>
        <w:keepLines/>
        <w:spacing w:before="120" w:after="120"/>
        <w:ind w:firstLine="227"/>
        <w:rPr>
          <w:rFonts w:ascii="Arial" w:hAnsi="Arial" w:cs="Arial"/>
          <w:sz w:val="24"/>
        </w:rPr>
      </w:pPr>
      <w:r w:rsidRPr="006C3C9D">
        <w:rPr>
          <w:rFonts w:ascii="Arial" w:hAnsi="Arial" w:cs="Arial"/>
          <w:sz w:val="24"/>
        </w:rPr>
        <w:t>Na podstawie art.18 ust.2 pkt 1 ustawy z dnia 8 marca 1990 r. o samorządzie gminnym (Dz. U. z 2022 r. poz. 559, poz. 583, poz. 1005, poz. 1079 i poz. 1561) uchwala się, co następuje:</w:t>
      </w:r>
    </w:p>
    <w:p w:rsidR="00A77B3E" w:rsidRPr="006C3C9D" w:rsidRDefault="008E12A4">
      <w:pPr>
        <w:keepLines/>
        <w:ind w:firstLine="340"/>
        <w:rPr>
          <w:rFonts w:ascii="Arial" w:hAnsi="Arial" w:cs="Arial"/>
          <w:sz w:val="24"/>
        </w:rPr>
      </w:pPr>
      <w:r w:rsidRPr="006C3C9D">
        <w:rPr>
          <w:rFonts w:ascii="Arial" w:hAnsi="Arial" w:cs="Arial"/>
          <w:sz w:val="24"/>
        </w:rPr>
        <w:t>§ 1. W Uchwale Nr XXV/458/12 Rady Miasta Piotrkowa Trybunalskiego z dnia 26 września 2012 r.</w:t>
      </w:r>
      <w:r w:rsidRPr="006C3C9D">
        <w:rPr>
          <w:rFonts w:ascii="Arial" w:hAnsi="Arial" w:cs="Arial"/>
          <w:sz w:val="24"/>
        </w:rPr>
        <w:br/>
        <w:t>w sprawie uchwalenia Statutu Miasta Piotrkowa Trybunalskiego (Dz. Urz. Woj. Łódzkiego z 2019 r. poz.3877), zmienionej Uchwałą Nr XXIX/298/20 z dnia 29 kwietnia 2022 r. (Dz. Urz. Woj. Łódzkiego z 2020 r. poz. 2889) wprowadza się następujące zmiany:</w:t>
      </w:r>
    </w:p>
    <w:p w:rsidR="00A77B3E" w:rsidRPr="006C3C9D" w:rsidRDefault="008E12A4">
      <w:pPr>
        <w:keepLines/>
        <w:spacing w:before="120" w:after="120"/>
        <w:ind w:firstLine="340"/>
        <w:rPr>
          <w:rFonts w:ascii="Arial" w:hAnsi="Arial" w:cs="Arial"/>
          <w:color w:val="000000"/>
          <w:sz w:val="24"/>
        </w:rPr>
      </w:pPr>
      <w:r w:rsidRPr="006C3C9D">
        <w:rPr>
          <w:rFonts w:ascii="Arial" w:hAnsi="Arial" w:cs="Arial"/>
          <w:sz w:val="24"/>
        </w:rPr>
        <w:t>1. W Statucie Miasta stanowiącym Załącznik Nr 1 do Uchwały:</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 xml:space="preserve">w § 5 dodaje się punkty 14-17 w brzmieniu: </w:t>
      </w:r>
    </w:p>
    <w:p w:rsidR="00A77B3E" w:rsidRPr="006C3C9D" w:rsidRDefault="008E12A4">
      <w:pPr>
        <w:spacing w:before="120" w:after="120"/>
        <w:ind w:left="793" w:hanging="340"/>
        <w:rPr>
          <w:rFonts w:ascii="Arial" w:hAnsi="Arial" w:cs="Arial"/>
          <w:color w:val="000000"/>
          <w:sz w:val="24"/>
        </w:rPr>
      </w:pPr>
      <w:r w:rsidRPr="006C3C9D">
        <w:rPr>
          <w:rFonts w:ascii="Arial" w:hAnsi="Arial" w:cs="Arial"/>
          <w:sz w:val="24"/>
        </w:rPr>
        <w:t>„14) </w:t>
      </w:r>
      <w:r w:rsidRPr="006C3C9D">
        <w:rPr>
          <w:rFonts w:ascii="Arial" w:hAnsi="Arial" w:cs="Arial"/>
          <w:color w:val="000000"/>
          <w:sz w:val="24"/>
        </w:rPr>
        <w:t>„Dedykowanym programie elektronicznym” – należy przez to rozumieć program do obsługi Rady Miasta /sesje, komisje/ będący w dyspozycji radnych Rady Miasta;</w:t>
      </w:r>
    </w:p>
    <w:p w:rsidR="00A77B3E" w:rsidRPr="006C3C9D" w:rsidRDefault="008E12A4">
      <w:pPr>
        <w:spacing w:before="120" w:after="120"/>
        <w:ind w:left="793" w:hanging="227"/>
        <w:rPr>
          <w:rFonts w:ascii="Arial" w:hAnsi="Arial" w:cs="Arial"/>
          <w:color w:val="000000"/>
          <w:sz w:val="24"/>
        </w:rPr>
      </w:pPr>
      <w:r w:rsidRPr="006C3C9D">
        <w:rPr>
          <w:rFonts w:ascii="Arial" w:hAnsi="Arial" w:cs="Arial"/>
          <w:sz w:val="24"/>
        </w:rPr>
        <w:t>15) </w:t>
      </w:r>
      <w:r w:rsidRPr="006C3C9D">
        <w:rPr>
          <w:rFonts w:ascii="Arial" w:hAnsi="Arial" w:cs="Arial"/>
          <w:color w:val="000000"/>
          <w:sz w:val="24"/>
        </w:rPr>
        <w:t>„Kwalifikowanym podpisie elektronicznym” - należy przez to rozumieć określony w odrębnych przepisach podpis służący do cyfrowego potwierdzania dokumentów</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16) </w:t>
      </w:r>
      <w:r w:rsidRPr="006C3C9D">
        <w:rPr>
          <w:rFonts w:ascii="Arial" w:hAnsi="Arial" w:cs="Arial"/>
          <w:color w:val="000000"/>
          <w:sz w:val="24"/>
        </w:rPr>
        <w:t xml:space="preserve">„BIP” – należy przez to rozumieć Biuletyn Informacji Publicznej znajdujący się na stronie internetowej </w:t>
      </w:r>
      <w:hyperlink r:id="rId6" w:history="1">
        <w:r w:rsidRPr="006C3C9D">
          <w:rPr>
            <w:rStyle w:val="Hipercze"/>
            <w:rFonts w:ascii="Arial" w:hAnsi="Arial" w:cs="Arial"/>
            <w:color w:val="000000"/>
            <w:sz w:val="24"/>
            <w:u w:val="none"/>
          </w:rPr>
          <w:t>www.bip.piotrkow.pl</w:t>
        </w:r>
      </w:hyperlink>
      <w:r w:rsidRPr="006C3C9D">
        <w:rPr>
          <w:rFonts w:ascii="Arial" w:hAnsi="Arial" w:cs="Arial"/>
          <w:color w:val="000000"/>
          <w:sz w:val="24"/>
        </w:rPr>
        <w:t>   ;</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17) </w:t>
      </w:r>
      <w:r w:rsidRPr="006C3C9D">
        <w:rPr>
          <w:rFonts w:ascii="Arial" w:hAnsi="Arial" w:cs="Arial"/>
          <w:color w:val="000000"/>
          <w:sz w:val="24"/>
        </w:rPr>
        <w:t>„EZD” – Elektroniczne Zarządzanie Dokumentacją, należy przez to rozumieć system teleinformatyczny do elektronicznego zarządzania dokumentacją umożliwiający wykonywanie w nim czynności kancelaryjnych, dokumentowanie przebiegu załatwiania spraw oraz gromadzenia i tworzenia dokumentów elektronicznych;”</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 xml:space="preserve">w § 27 ust. 2 pkt 2 otrzymuje brzmienie: </w:t>
      </w:r>
    </w:p>
    <w:p w:rsidR="00A77B3E" w:rsidRPr="006C3C9D" w:rsidRDefault="008E12A4">
      <w:pPr>
        <w:spacing w:before="120" w:after="120"/>
        <w:ind w:left="793" w:hanging="340"/>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składa sprawozdania ze swojej działalności w okresach między sesjami;</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 xml:space="preserve">w § 29 ust.1 otrzymuje brzmienie: </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Odpowiedzi na wnioski komisji Rady lub radnych podpisują kwalifikowanym podpisem elektronicznym Prezydent, Zastępcy Prezydenta, Sekretarz i Skarbnik w ramach dokonanego podziału zadań.</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w § 35 ust. 4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Konsultacje zarządza Prezydent w terminie 30 dni od opublikowania w prasie oraz stronie internetowej Miasta ogłoszenia o wniosku w sprawie podziału osiedla. W zarządzeniu Prezydent określa termin i sposób przeprowadzenia konsultacji oraz ogłoszenia ich wyników.</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5) </w:t>
      </w:r>
      <w:r w:rsidRPr="006C3C9D">
        <w:rPr>
          <w:rFonts w:ascii="Arial" w:hAnsi="Arial" w:cs="Arial"/>
          <w:color w:val="000000"/>
          <w:sz w:val="24"/>
        </w:rPr>
        <w:t>w § 47:</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a) </w:t>
      </w:r>
      <w:r w:rsidRPr="006C3C9D">
        <w:rPr>
          <w:rFonts w:ascii="Arial" w:hAnsi="Arial" w:cs="Arial"/>
          <w:color w:val="000000"/>
          <w:sz w:val="24"/>
        </w:rPr>
        <w:t>ust. 2 otrzymuje brzmienie:</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Wniosek winien być złożony na piśmie lub drogą elektroniczną, a w przypadkach szczególnie uzasadnionych może być również złożony do protokołu.</w:t>
      </w:r>
      <w:r w:rsidRPr="006C3C9D">
        <w:rPr>
          <w:rFonts w:ascii="Arial" w:hAnsi="Arial" w:cs="Arial"/>
          <w:sz w:val="24"/>
        </w:rPr>
        <w:t>”,</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b) </w:t>
      </w:r>
      <w:r w:rsidRPr="006C3C9D">
        <w:rPr>
          <w:rFonts w:ascii="Arial" w:hAnsi="Arial" w:cs="Arial"/>
          <w:color w:val="000000"/>
          <w:sz w:val="24"/>
        </w:rPr>
        <w:t>ust. 3 otrzymuje brzmienie:</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lastRenderedPageBreak/>
        <w:t>„3. </w:t>
      </w:r>
      <w:r w:rsidRPr="006C3C9D">
        <w:rPr>
          <w:rFonts w:ascii="Arial" w:hAnsi="Arial" w:cs="Arial"/>
          <w:color w:val="000000"/>
          <w:sz w:val="24"/>
        </w:rPr>
        <w:t>Wniosek powinien zawierać co najmniej: oznaczenie wnioskodawcy, jego adres, wskazanie przedmiotu wniosku, a także w przypadku wniosku złożonego na piśmie podpis wnioskodawcy.</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6) </w:t>
      </w:r>
      <w:r w:rsidRPr="006C3C9D">
        <w:rPr>
          <w:rFonts w:ascii="Arial" w:hAnsi="Arial" w:cs="Arial"/>
          <w:color w:val="000000"/>
          <w:sz w:val="24"/>
        </w:rPr>
        <w:t>w § 49 ust.1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Udostępnieniu w BIP podlegają protokoły z sesji Rady, zatwierdzone przez Radę i podpisane przez Przewodniczącego i sekretarzy obrad.</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7) </w:t>
      </w:r>
      <w:r w:rsidRPr="006C3C9D">
        <w:rPr>
          <w:rFonts w:ascii="Arial" w:hAnsi="Arial" w:cs="Arial"/>
          <w:color w:val="000000"/>
          <w:sz w:val="24"/>
        </w:rPr>
        <w:t>w § 51 ust.</w:t>
      </w:r>
      <w:r w:rsidRPr="006C3C9D">
        <w:rPr>
          <w:rFonts w:ascii="Arial" w:hAnsi="Arial" w:cs="Arial"/>
          <w:color w:val="000000"/>
          <w:sz w:val="24"/>
          <w:vertAlign w:val="superscript"/>
        </w:rPr>
        <w:t> </w:t>
      </w:r>
      <w:r w:rsidRPr="006C3C9D">
        <w:rPr>
          <w:rFonts w:ascii="Arial" w:hAnsi="Arial" w:cs="Arial"/>
          <w:color w:val="000000"/>
          <w:sz w:val="24"/>
        </w:rPr>
        <w:t>1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 xml:space="preserve">Dokumenty związane z funkcjonowaniem Rady Miasta, w tym protokoły z posiedzeń Rady i posiedzeń komisji, udostępnia się w BIP, zamieszczonym na stronie internetowej </w:t>
      </w:r>
      <w:hyperlink r:id="rId7" w:history="1">
        <w:r w:rsidRPr="006C3C9D">
          <w:rPr>
            <w:rStyle w:val="Hipercze"/>
            <w:rFonts w:ascii="Arial" w:hAnsi="Arial" w:cs="Arial"/>
            <w:color w:val="000000"/>
            <w:sz w:val="24"/>
            <w:u w:val="none"/>
          </w:rPr>
          <w:t>www.bip.piotrkow.pl</w:t>
        </w:r>
      </w:hyperlink>
      <w:r w:rsidRPr="006C3C9D">
        <w:rPr>
          <w:rFonts w:ascii="Arial" w:hAnsi="Arial" w:cs="Arial"/>
          <w:color w:val="000000"/>
          <w:sz w:val="24"/>
        </w:rPr>
        <w:t>.</w:t>
      </w:r>
      <w:r w:rsidRPr="006C3C9D">
        <w:rPr>
          <w:rFonts w:ascii="Arial" w:hAnsi="Arial" w:cs="Arial"/>
          <w:sz w:val="24"/>
        </w:rPr>
        <w:t>”.</w:t>
      </w:r>
    </w:p>
    <w:p w:rsidR="00A77B3E" w:rsidRPr="006C3C9D" w:rsidRDefault="008E12A4">
      <w:pPr>
        <w:keepLines/>
        <w:spacing w:before="120" w:after="120"/>
        <w:ind w:firstLine="340"/>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W Regulaminie Rady Miasta stanowiącym Załącznik Nr 1 do Statutu Miasta:</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w § 4 dodaje się ust. 4 i 5 w brzmieniu:</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Decyzję w sprawie wyboru trybu obrad określonego w pkt. 3 podejmuje Przewodniczący Rady Miasta.”.</w:t>
      </w:r>
      <w:r w:rsidRPr="006C3C9D">
        <w:rPr>
          <w:rFonts w:ascii="Arial" w:hAnsi="Arial" w:cs="Arial"/>
          <w:sz w:val="24"/>
        </w:rPr>
        <w:t>;</w:t>
      </w:r>
    </w:p>
    <w:p w:rsidR="00A77B3E" w:rsidRPr="006C3C9D" w:rsidRDefault="008E12A4">
      <w:pPr>
        <w:keepLines/>
        <w:spacing w:before="120" w:after="120"/>
        <w:ind w:left="1020" w:firstLine="227"/>
        <w:rPr>
          <w:rFonts w:ascii="Arial" w:hAnsi="Arial" w:cs="Arial"/>
          <w:color w:val="000000"/>
          <w:sz w:val="24"/>
        </w:rPr>
      </w:pPr>
      <w:r w:rsidRPr="006C3C9D">
        <w:rPr>
          <w:rFonts w:ascii="Arial" w:hAnsi="Arial" w:cs="Arial"/>
          <w:sz w:val="24"/>
        </w:rPr>
        <w:t>„5. </w:t>
      </w:r>
      <w:r w:rsidRPr="006C3C9D">
        <w:rPr>
          <w:rFonts w:ascii="Arial" w:hAnsi="Arial" w:cs="Arial"/>
          <w:color w:val="000000"/>
          <w:sz w:val="24"/>
        </w:rPr>
        <w:t>Organizację techniczną Sesji zapewnia Prezydent Miasta.</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w § 8 ust. 1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O terminie, miejscu i porządku obrad sesji zwyczajnej, powiadamia się radnych poprzez dedykowany program elektroniczny najpóźniej 7 dni przed tym terminem. Uznaje się, że materiały wysłane tą drogą są dostarczone z dniem, w którym wprowadzono je do tego programu  w taki sposób, że radny mógł się zapoznać z ich treścią</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w § 8 ust.2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Do zawiadomienia o sesji dołącza się porządek obrad, projekty uchwał oraz w miarę potrzeby, inne materiały.</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w § 10 ust. 1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 xml:space="preserve">Sesje Rady są jawne. Zawiadomienie o miejscu, terminie i porządku obrad podaje się do wiadomości mieszkańców nie później niż 3 dni przed sesją, w lokalnych środkach masowego przekazu lub na stronie internetowej miasta </w:t>
      </w:r>
      <w:hyperlink r:id="rId8" w:history="1">
        <w:r w:rsidRPr="006C3C9D">
          <w:rPr>
            <w:rStyle w:val="Hipercze"/>
            <w:rFonts w:ascii="Arial" w:hAnsi="Arial" w:cs="Arial"/>
            <w:color w:val="000000"/>
            <w:sz w:val="24"/>
            <w:u w:val="none"/>
          </w:rPr>
          <w:t>www.piotrkow.pl</w:t>
        </w:r>
      </w:hyperlink>
      <w:r w:rsidRPr="006C3C9D">
        <w:rPr>
          <w:rFonts w:ascii="Arial" w:hAnsi="Arial" w:cs="Arial"/>
          <w:color w:val="000000"/>
          <w:sz w:val="24"/>
        </w:rPr>
        <w:t>, z wyłączeniem sesji nadzwyczajnych.</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5) </w:t>
      </w:r>
      <w:r w:rsidRPr="006C3C9D">
        <w:rPr>
          <w:rFonts w:ascii="Arial" w:hAnsi="Arial" w:cs="Arial"/>
          <w:color w:val="000000"/>
          <w:sz w:val="24"/>
        </w:rPr>
        <w:t xml:space="preserve">w § 11 ust. 3 otrzymuje brzmienie: </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Radnych, którzy nie brali udziału w pierwszym posiedzeniu, należy zawiadomić poprzez dedykowany program elektroniczny.</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6) </w:t>
      </w:r>
      <w:r w:rsidRPr="006C3C9D">
        <w:rPr>
          <w:rFonts w:ascii="Arial" w:hAnsi="Arial" w:cs="Arial"/>
          <w:color w:val="000000"/>
          <w:sz w:val="24"/>
        </w:rPr>
        <w:t>w § 16 ust. 2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Przewodniczący obrad udziela głosu według kolejności zgłoszeń w dedykowanym programie elektronicznym, z tym, że uwzględnia pierwszeństwo wystąpień klubowych.</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7) </w:t>
      </w:r>
      <w:r w:rsidRPr="006C3C9D">
        <w:rPr>
          <w:rFonts w:ascii="Arial" w:hAnsi="Arial" w:cs="Arial"/>
          <w:color w:val="000000"/>
          <w:sz w:val="24"/>
        </w:rPr>
        <w:t>w § 16 ust. 3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Jeżeli mówca odbiega od przedmiotu obrad lub przekracza czas określony w §19 ust. 1, przewodniczący obrad zwraca mu uwagę przywołując „do rzeczy”. Po jednokrotnym zwróceniu uwagi, przewodniczący obrad odbiera głos mówcy. Mówca, któremu odebrano głos, ma prawo odwołania się do Rady, która rozstrzyga tę sprawę w sposób przewidziany dla wniosków formalnych”;</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8) </w:t>
      </w:r>
      <w:r w:rsidRPr="006C3C9D">
        <w:rPr>
          <w:rFonts w:ascii="Arial" w:hAnsi="Arial" w:cs="Arial"/>
          <w:color w:val="000000"/>
          <w:sz w:val="24"/>
        </w:rPr>
        <w:t>w § 17:</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a) </w:t>
      </w:r>
      <w:r w:rsidRPr="006C3C9D">
        <w:rPr>
          <w:rFonts w:ascii="Arial" w:hAnsi="Arial" w:cs="Arial"/>
          <w:color w:val="000000"/>
          <w:sz w:val="24"/>
        </w:rPr>
        <w:t>ust. 1 otrzymuje brzmienie:</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lastRenderedPageBreak/>
        <w:t>„1. </w:t>
      </w:r>
      <w:r w:rsidRPr="006C3C9D">
        <w:rPr>
          <w:rFonts w:ascii="Arial" w:hAnsi="Arial" w:cs="Arial"/>
          <w:color w:val="000000"/>
          <w:sz w:val="24"/>
        </w:rPr>
        <w:t>Przewodniczący obrad może udzielić głosu poza kolejnością zgłoszonych mówców, jeżeli konieczność zabrania głosu wiąże się bezpośrednio z głosem przedmówcy (ad vocem), nie dłuższego niż 1 min. Nie udziela się głosu ad vocem do wypowiedzi ad vocem.</w:t>
      </w:r>
      <w:r w:rsidRPr="006C3C9D">
        <w:rPr>
          <w:rFonts w:ascii="Arial" w:hAnsi="Arial" w:cs="Arial"/>
          <w:sz w:val="24"/>
        </w:rPr>
        <w:t>”,</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b) </w:t>
      </w:r>
      <w:r w:rsidRPr="006C3C9D">
        <w:rPr>
          <w:rFonts w:ascii="Arial" w:hAnsi="Arial" w:cs="Arial"/>
          <w:color w:val="000000"/>
          <w:sz w:val="24"/>
        </w:rPr>
        <w:t>w ust.3 pkt 2 otrzymuje brzmienie:</w:t>
      </w:r>
    </w:p>
    <w:p w:rsidR="00A77B3E" w:rsidRPr="006C3C9D" w:rsidRDefault="008E12A4">
      <w:pPr>
        <w:spacing w:before="120" w:after="120"/>
        <w:ind w:left="1020" w:hanging="340"/>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zarządzenia głosowania imiennego w przypadku określonym w art. 14 ust. 3 ustawy;</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9) </w:t>
      </w:r>
      <w:r w:rsidRPr="006C3C9D">
        <w:rPr>
          <w:rFonts w:ascii="Arial" w:hAnsi="Arial" w:cs="Arial"/>
          <w:color w:val="000000"/>
          <w:sz w:val="24"/>
        </w:rPr>
        <w:t xml:space="preserve">w § 19: </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a) </w:t>
      </w:r>
      <w:r w:rsidRPr="006C3C9D">
        <w:rPr>
          <w:rFonts w:ascii="Arial" w:hAnsi="Arial" w:cs="Arial"/>
          <w:color w:val="000000"/>
          <w:sz w:val="24"/>
        </w:rPr>
        <w:t>ust. 1 otrzymuje brzmienie:</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Głos w dyskusji nie może trwać dłużej niż 4 minuty, a w razie ponownego zabrania głosu 2 minuty.”,</w:t>
      </w:r>
      <w:r w:rsidRPr="006C3C9D">
        <w:rPr>
          <w:rFonts w:ascii="Arial" w:hAnsi="Arial" w:cs="Arial"/>
          <w:sz w:val="24"/>
        </w:rPr>
        <w:t>,</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b) </w:t>
      </w:r>
      <w:r w:rsidRPr="006C3C9D">
        <w:rPr>
          <w:rFonts w:ascii="Arial" w:hAnsi="Arial" w:cs="Arial"/>
          <w:color w:val="000000"/>
          <w:sz w:val="24"/>
        </w:rPr>
        <w:t>ust. 2 otrzymuje brzmienie:</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Przewodniczący nie udziela głosu osobom zgłaszającym się po raz trzeci w tej samej sprawie. Nie dotyczy to wypowiedzi ad vocem.</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10) </w:t>
      </w:r>
      <w:r w:rsidRPr="006C3C9D">
        <w:rPr>
          <w:rFonts w:ascii="Arial" w:hAnsi="Arial" w:cs="Arial"/>
          <w:color w:val="000000"/>
          <w:sz w:val="24"/>
        </w:rPr>
        <w:t>w § 23 ust.3 pkt 4 otrzymuje brzmienie:</w:t>
      </w:r>
    </w:p>
    <w:p w:rsidR="00A77B3E" w:rsidRPr="006C3C9D" w:rsidRDefault="008E12A4">
      <w:pPr>
        <w:spacing w:before="120" w:after="120"/>
        <w:ind w:left="793" w:hanging="340"/>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imienne wykazy głosowań radnych;</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11) </w:t>
      </w:r>
      <w:r w:rsidRPr="006C3C9D">
        <w:rPr>
          <w:rFonts w:ascii="Arial" w:hAnsi="Arial" w:cs="Arial"/>
          <w:color w:val="000000"/>
          <w:sz w:val="24"/>
        </w:rPr>
        <w:t xml:space="preserve">w § 30 ust. 4 otrzymuje brzmienie: </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Uchwały Rady są zamieszczane w BIP ( </w:t>
      </w:r>
      <w:hyperlink r:id="rId9" w:history="1">
        <w:r w:rsidRPr="006C3C9D">
          <w:rPr>
            <w:rStyle w:val="Hipercze"/>
            <w:rFonts w:ascii="Arial" w:hAnsi="Arial" w:cs="Arial"/>
            <w:color w:val="000000"/>
            <w:sz w:val="24"/>
            <w:u w:val="none"/>
          </w:rPr>
          <w:t>www.bip.piotrkow.pl</w:t>
        </w:r>
      </w:hyperlink>
      <w:r w:rsidRPr="006C3C9D">
        <w:rPr>
          <w:rFonts w:ascii="Arial" w:hAnsi="Arial" w:cs="Arial"/>
          <w:color w:val="000000"/>
          <w:sz w:val="24"/>
        </w:rPr>
        <w:t>). Akty prawa miejscowego ogłasza się w Dzienniku Urzędowym Województwa Łódzkiego oraz zamieszcza w Biuletynie Informacji Publicznej ( </w:t>
      </w:r>
      <w:hyperlink r:id="rId10" w:history="1">
        <w:r w:rsidRPr="006C3C9D">
          <w:rPr>
            <w:rStyle w:val="Hipercze"/>
            <w:rFonts w:ascii="Arial" w:hAnsi="Arial" w:cs="Arial"/>
            <w:color w:val="000000"/>
            <w:sz w:val="24"/>
            <w:u w:val="none"/>
          </w:rPr>
          <w:t>www.bip.piotrkow.pl</w:t>
        </w:r>
      </w:hyperlink>
      <w:r w:rsidRPr="006C3C9D">
        <w:rPr>
          <w:rFonts w:ascii="Arial" w:hAnsi="Arial" w:cs="Arial"/>
          <w:color w:val="000000"/>
          <w:sz w:val="24"/>
        </w:rPr>
        <w:t>) w zakładce „Zbiór aktów prawa miejscowego”.”;</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12) </w:t>
      </w:r>
      <w:r w:rsidRPr="006C3C9D">
        <w:rPr>
          <w:rFonts w:ascii="Arial" w:hAnsi="Arial" w:cs="Arial"/>
          <w:color w:val="000000"/>
          <w:sz w:val="24"/>
        </w:rPr>
        <w:t>w § 35:</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a) </w:t>
      </w:r>
      <w:r w:rsidRPr="006C3C9D">
        <w:rPr>
          <w:rFonts w:ascii="Arial" w:hAnsi="Arial" w:cs="Arial"/>
          <w:color w:val="000000"/>
          <w:sz w:val="24"/>
        </w:rPr>
        <w:t xml:space="preserve">ust. 2 otrzymuje brzmienie: </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Projekty uchwał Rady składa się w formie elektronicznej Przewodniczącemu za pośrednictwem Biura Rady Miasta wraz z uzasadnieniem i kwestionariuszem, co najmniej 14 dni przed datą rozpoczęcia sesji z wykorzystaniem programu EZD. W szczególnych przypadkach wynikających z braku możliwości technicznych i organizacyjnych oraz w przypadku inicjatywy uchwałodawczej, o której mowa w § 31 ust. 1 pkt od 1- 4 oraz pkt 6. projekty uchwał przekazywane są w formie papierowej.</w:t>
      </w:r>
      <w:r w:rsidRPr="006C3C9D">
        <w:rPr>
          <w:rFonts w:ascii="Arial" w:hAnsi="Arial" w:cs="Arial"/>
          <w:sz w:val="24"/>
        </w:rPr>
        <w:t>”,</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b) </w:t>
      </w:r>
      <w:r w:rsidRPr="006C3C9D">
        <w:rPr>
          <w:rFonts w:ascii="Arial" w:hAnsi="Arial" w:cs="Arial"/>
          <w:color w:val="000000"/>
          <w:sz w:val="24"/>
        </w:rPr>
        <w:t xml:space="preserve">ust. 3 otrzymuje brzmienie: </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Projekty uchwał podlegające publikacji w Dzienniku Urzędowym Województwa Łódzkiego wraz z uzasadnieniem i ewentualnymi załącznikami sporządza się w formacie XML i razem z kwestionariuszem przekazuje się w formie elektronicznej Przewodniczącemu za pośrednictwem Biura Rady Miasta w programie EZD”.</w:t>
      </w:r>
      <w:r w:rsidRPr="006C3C9D">
        <w:rPr>
          <w:rFonts w:ascii="Arial" w:hAnsi="Arial" w:cs="Arial"/>
          <w:sz w:val="24"/>
        </w:rPr>
        <w:t>,</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c) </w:t>
      </w:r>
      <w:r w:rsidRPr="006C3C9D">
        <w:rPr>
          <w:rFonts w:ascii="Arial" w:hAnsi="Arial" w:cs="Arial"/>
          <w:color w:val="000000"/>
          <w:sz w:val="24"/>
        </w:rPr>
        <w:t xml:space="preserve">ust. 5 otrzymuje brzmienie: </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„5. </w:t>
      </w:r>
      <w:r w:rsidRPr="006C3C9D">
        <w:rPr>
          <w:rFonts w:ascii="Arial" w:hAnsi="Arial" w:cs="Arial"/>
          <w:color w:val="000000"/>
          <w:sz w:val="24"/>
        </w:rPr>
        <w:t>Projekt uchwały spełniający wymogi formalne, o których mowa w ust. 1-4 oraz w § 33 </w:t>
      </w:r>
      <w:r w:rsidRPr="006C3C9D">
        <w:rPr>
          <w:rFonts w:ascii="Arial" w:hAnsi="Arial" w:cs="Arial"/>
          <w:color w:val="000000"/>
          <w:sz w:val="24"/>
        </w:rPr>
        <w:br/>
        <w:t>i § 34 niniejszego Regulaminu, Przewodniczący kieruje do radnych poprzez dedykowany program elektroniczny, w celu zaopiniowania przez komisje i ewentualnie zgłoszenia poprawek.</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13) </w:t>
      </w:r>
      <w:r w:rsidRPr="006C3C9D">
        <w:rPr>
          <w:rFonts w:ascii="Arial" w:hAnsi="Arial" w:cs="Arial"/>
          <w:color w:val="000000"/>
          <w:sz w:val="24"/>
        </w:rPr>
        <w:t>w § 40 ust. 2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O terminie, miejscu i porządku obrad komisji, powiadamia się członków komisji w dedykowanym programie elektronicznym, najpóźniej 7 dni przed tym terminem.”. Uznaje się, że materiały wysłane tą drogą są dostarczone z dniem, w którym wprowadzono je do tego programu w taki sposób, że radny mógł się zapoznać z ich treścią.</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lastRenderedPageBreak/>
        <w:t>14) </w:t>
      </w:r>
      <w:r w:rsidRPr="006C3C9D">
        <w:rPr>
          <w:rFonts w:ascii="Arial" w:hAnsi="Arial" w:cs="Arial"/>
          <w:color w:val="000000"/>
          <w:sz w:val="24"/>
        </w:rPr>
        <w:t>w § 42 dodaje się ust. 3 w brzmieniu:</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Przewodniczący Komisji decyduje o elektronicznej lub tradycyjnej formie prowadzenia obrad komisji.</w:t>
      </w:r>
      <w:r w:rsidRPr="006C3C9D">
        <w:rPr>
          <w:rFonts w:ascii="Arial" w:hAnsi="Arial" w:cs="Arial"/>
          <w:sz w:val="24"/>
        </w:rPr>
        <w:t>”.</w:t>
      </w:r>
    </w:p>
    <w:p w:rsidR="00A77B3E" w:rsidRPr="006C3C9D" w:rsidRDefault="008E12A4">
      <w:pPr>
        <w:keepLines/>
        <w:ind w:firstLine="340"/>
        <w:rPr>
          <w:rFonts w:ascii="Arial" w:hAnsi="Arial" w:cs="Arial"/>
          <w:color w:val="000000"/>
          <w:sz w:val="24"/>
        </w:rPr>
      </w:pPr>
      <w:r w:rsidRPr="006C3C9D">
        <w:rPr>
          <w:rFonts w:ascii="Arial" w:hAnsi="Arial" w:cs="Arial"/>
          <w:sz w:val="24"/>
        </w:rPr>
        <w:t>§ 2. </w:t>
      </w:r>
      <w:r w:rsidRPr="006C3C9D">
        <w:rPr>
          <w:rFonts w:ascii="Arial" w:hAnsi="Arial" w:cs="Arial"/>
          <w:color w:val="000000"/>
          <w:sz w:val="24"/>
        </w:rPr>
        <w:t>Wykonanie uchwały powierza się Prezydentowi Miasta.</w:t>
      </w:r>
    </w:p>
    <w:p w:rsidR="00A77B3E" w:rsidRPr="006C3C9D" w:rsidRDefault="008E12A4">
      <w:pPr>
        <w:keepNext/>
        <w:keepLines/>
        <w:ind w:firstLine="340"/>
        <w:rPr>
          <w:rFonts w:ascii="Arial" w:hAnsi="Arial" w:cs="Arial"/>
          <w:color w:val="000000"/>
          <w:sz w:val="24"/>
        </w:rPr>
      </w:pPr>
      <w:r w:rsidRPr="006C3C9D">
        <w:rPr>
          <w:rFonts w:ascii="Arial" w:hAnsi="Arial" w:cs="Arial"/>
          <w:sz w:val="24"/>
        </w:rPr>
        <w:t>§ 3. </w:t>
      </w:r>
      <w:r w:rsidRPr="006C3C9D">
        <w:rPr>
          <w:rFonts w:ascii="Arial" w:hAnsi="Arial" w:cs="Arial"/>
          <w:color w:val="000000"/>
          <w:sz w:val="24"/>
        </w:rPr>
        <w:t>Uchwała wchodzi w życie po upływie 14 dni od dnia ogłoszenia w Dzienniku Urzędowym Województwa Łódzkiego.</w:t>
      </w:r>
    </w:p>
    <w:p w:rsidR="00A77B3E" w:rsidRPr="006C3C9D" w:rsidRDefault="008E12A4">
      <w:pPr>
        <w:keepNext/>
        <w:keepLines/>
        <w:spacing w:before="120" w:after="120"/>
        <w:ind w:left="283" w:firstLine="227"/>
        <w:rPr>
          <w:rFonts w:ascii="Arial" w:hAnsi="Arial" w:cs="Arial"/>
          <w:color w:val="000000"/>
          <w:sz w:val="24"/>
        </w:rPr>
      </w:pPr>
      <w:r w:rsidRPr="006C3C9D">
        <w:rPr>
          <w:rFonts w:ascii="Arial" w:hAnsi="Arial" w:cs="Arial"/>
          <w:color w:val="000000"/>
          <w:sz w:val="24"/>
        </w:rPr>
        <w:tab/>
      </w:r>
      <w:r w:rsidRPr="006C3C9D">
        <w:rPr>
          <w:rFonts w:ascii="Arial" w:hAnsi="Arial" w:cs="Arial"/>
          <w:color w:val="000000"/>
          <w:sz w:val="24"/>
        </w:rPr>
        <w:tab/>
      </w:r>
      <w:r w:rsidRPr="006C3C9D">
        <w:rPr>
          <w:rFonts w:ascii="Arial" w:hAnsi="Arial" w:cs="Arial"/>
          <w:color w:val="000000"/>
          <w:sz w:val="24"/>
        </w:rPr>
        <w:tab/>
      </w:r>
      <w:r w:rsidRPr="006C3C9D">
        <w:rPr>
          <w:rFonts w:ascii="Arial" w:hAnsi="Arial" w:cs="Arial"/>
          <w:color w:val="000000"/>
          <w:sz w:val="24"/>
        </w:rPr>
        <w:tab/>
      </w:r>
      <w:r w:rsidRPr="006C3C9D">
        <w:rPr>
          <w:rFonts w:ascii="Arial" w:hAnsi="Arial" w:cs="Arial"/>
          <w:color w:val="000000"/>
          <w:sz w:val="24"/>
        </w:rPr>
        <w:tab/>
      </w:r>
      <w:r w:rsidRPr="006C3C9D">
        <w:rPr>
          <w:rFonts w:ascii="Arial" w:hAnsi="Arial" w:cs="Arial"/>
          <w:color w:val="000000"/>
          <w:sz w:val="24"/>
        </w:rPr>
        <w:tab/>
      </w:r>
      <w:r w:rsidRPr="006C3C9D">
        <w:rPr>
          <w:rFonts w:ascii="Arial" w:hAnsi="Arial" w:cs="Arial"/>
          <w:color w:val="000000"/>
          <w:sz w:val="24"/>
        </w:rPr>
        <w:tab/>
      </w:r>
    </w:p>
    <w:p w:rsidR="00A77B3E" w:rsidRPr="006C3C9D" w:rsidRDefault="008E12A4">
      <w:pPr>
        <w:keepNext/>
        <w:rPr>
          <w:rFonts w:ascii="Arial" w:hAnsi="Arial" w:cs="Arial"/>
          <w:color w:val="000000"/>
          <w:sz w:val="24"/>
        </w:rPr>
      </w:pPr>
      <w:r w:rsidRPr="006C3C9D">
        <w:rPr>
          <w:rFonts w:ascii="Arial" w:hAnsi="Arial" w:cs="Arial"/>
          <w:color w:val="000000"/>
          <w:sz w:val="24"/>
        </w:rPr>
        <w:t> </w:t>
      </w:r>
    </w:p>
    <w:tbl>
      <w:tblPr>
        <w:tblW w:w="5000" w:type="pct"/>
        <w:tblCellMar>
          <w:left w:w="0" w:type="dxa"/>
          <w:right w:w="0" w:type="dxa"/>
        </w:tblCellMar>
        <w:tblLook w:val="04A0" w:firstRow="1" w:lastRow="0" w:firstColumn="1" w:lastColumn="0" w:noHBand="0" w:noVBand="1"/>
      </w:tblPr>
      <w:tblGrid>
        <w:gridCol w:w="5103"/>
        <w:gridCol w:w="5103"/>
      </w:tblGrid>
      <w:tr w:rsidR="00EE4FBB" w:rsidRPr="006C3C9D">
        <w:tc>
          <w:tcPr>
            <w:tcW w:w="2500" w:type="pct"/>
            <w:tcMar>
              <w:top w:w="0" w:type="dxa"/>
              <w:left w:w="0" w:type="dxa"/>
              <w:bottom w:w="0" w:type="dxa"/>
              <w:right w:w="0" w:type="dxa"/>
            </w:tcMar>
            <w:hideMark/>
          </w:tcPr>
          <w:p w:rsidR="00EE4FBB" w:rsidRPr="006C3C9D" w:rsidRDefault="00EE4FBB">
            <w:pPr>
              <w:keepNext/>
              <w:keepLines/>
              <w:jc w:val="left"/>
              <w:rPr>
                <w:rFonts w:ascii="Arial" w:hAnsi="Arial" w:cs="Arial"/>
                <w:color w:val="000000"/>
                <w:sz w:val="24"/>
              </w:rPr>
            </w:pPr>
          </w:p>
        </w:tc>
        <w:tc>
          <w:tcPr>
            <w:tcW w:w="2500" w:type="pct"/>
            <w:tcMar>
              <w:top w:w="0" w:type="dxa"/>
              <w:left w:w="0" w:type="dxa"/>
              <w:bottom w:w="0" w:type="dxa"/>
              <w:right w:w="0" w:type="dxa"/>
            </w:tcMar>
            <w:hideMark/>
          </w:tcPr>
          <w:p w:rsidR="00EE4FBB" w:rsidRPr="006C3C9D" w:rsidRDefault="008E12A4">
            <w:pPr>
              <w:keepNext/>
              <w:keepLines/>
              <w:spacing w:before="560" w:after="560"/>
              <w:ind w:left="1134" w:right="1134"/>
              <w:jc w:val="center"/>
              <w:rPr>
                <w:rFonts w:ascii="Arial" w:hAnsi="Arial" w:cs="Arial"/>
                <w:color w:val="000000"/>
                <w:sz w:val="24"/>
              </w:rPr>
            </w:pPr>
            <w:r w:rsidRPr="006C3C9D">
              <w:rPr>
                <w:rFonts w:ascii="Arial" w:hAnsi="Arial" w:cs="Arial"/>
                <w:color w:val="000000"/>
                <w:sz w:val="24"/>
              </w:rPr>
              <w:t>Przewodniczący Rady Miasta</w:t>
            </w:r>
            <w:r w:rsidRPr="006C3C9D">
              <w:rPr>
                <w:rFonts w:ascii="Arial" w:hAnsi="Arial" w:cs="Arial"/>
                <w:color w:val="000000"/>
                <w:sz w:val="24"/>
              </w:rPr>
              <w:br/>
            </w:r>
            <w:r w:rsidRPr="006C3C9D">
              <w:rPr>
                <w:rFonts w:ascii="Arial" w:hAnsi="Arial" w:cs="Arial"/>
                <w:color w:val="000000"/>
                <w:sz w:val="24"/>
              </w:rPr>
              <w:br/>
            </w:r>
            <w:r w:rsidRPr="006C3C9D">
              <w:rPr>
                <w:rFonts w:ascii="Arial" w:hAnsi="Arial" w:cs="Arial"/>
                <w:color w:val="000000"/>
                <w:sz w:val="24"/>
              </w:rPr>
              <w:br/>
            </w:r>
            <w:r w:rsidRPr="006C3C9D">
              <w:rPr>
                <w:rFonts w:ascii="Arial" w:hAnsi="Arial" w:cs="Arial"/>
                <w:sz w:val="24"/>
              </w:rPr>
              <w:t>Marian Błaszczyński</w:t>
            </w:r>
          </w:p>
        </w:tc>
      </w:tr>
    </w:tbl>
    <w:p w:rsidR="00A77B3E" w:rsidRPr="006C3C9D" w:rsidRDefault="00A77B3E">
      <w:pPr>
        <w:keepNext/>
        <w:rPr>
          <w:rFonts w:ascii="Arial" w:hAnsi="Arial" w:cs="Arial"/>
          <w:color w:val="000000"/>
          <w:sz w:val="24"/>
        </w:rPr>
      </w:pPr>
    </w:p>
    <w:sectPr w:rsidR="00A77B3E" w:rsidRPr="006C3C9D">
      <w:footerReference w:type="default" r:id="rId11"/>
      <w:endnotePr>
        <w:numFmt w:val="decimal"/>
      </w:endnotePr>
      <w:pgSz w:w="11906" w:h="16838"/>
      <w:pgMar w:top="850" w:right="850" w:bottom="1417"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2A4" w:rsidRDefault="008E12A4">
      <w:r>
        <w:separator/>
      </w:r>
    </w:p>
  </w:endnote>
  <w:endnote w:type="continuationSeparator" w:id="0">
    <w:p w:rsidR="008E12A4" w:rsidRDefault="008E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E4FBB">
      <w:tc>
        <w:tcPr>
          <w:tcW w:w="6804" w:type="dxa"/>
          <w:tcBorders>
            <w:top w:val="nil"/>
            <w:left w:val="nil"/>
            <w:bottom w:val="nil"/>
            <w:right w:val="nil"/>
          </w:tcBorders>
          <w:tcMar>
            <w:top w:w="100" w:type="dxa"/>
            <w:left w:w="0" w:type="dxa"/>
            <w:bottom w:w="0" w:type="dxa"/>
            <w:right w:w="0" w:type="dxa"/>
          </w:tcMar>
          <w:hideMark/>
        </w:tcPr>
        <w:p w:rsidR="00EE4FBB" w:rsidRDefault="008E12A4">
          <w:pPr>
            <w:jc w:val="left"/>
            <w:rPr>
              <w:sz w:val="18"/>
            </w:rPr>
          </w:pPr>
          <w:r>
            <w:rPr>
              <w:sz w:val="18"/>
            </w:rPr>
            <w:t>Id: 515F0844-FF2C-4ED6-93AE-13E3DFA0A69B. Podpisany</w:t>
          </w:r>
        </w:p>
      </w:tc>
      <w:tc>
        <w:tcPr>
          <w:tcW w:w="3402" w:type="dxa"/>
          <w:tcBorders>
            <w:top w:val="nil"/>
            <w:left w:val="nil"/>
            <w:bottom w:val="nil"/>
            <w:right w:val="nil"/>
          </w:tcBorders>
          <w:tcMar>
            <w:top w:w="100" w:type="dxa"/>
            <w:left w:w="0" w:type="dxa"/>
            <w:bottom w:w="0" w:type="dxa"/>
            <w:right w:w="0" w:type="dxa"/>
          </w:tcMar>
          <w:hideMark/>
        </w:tcPr>
        <w:p w:rsidR="00EE4FBB" w:rsidRDefault="008E12A4">
          <w:pPr>
            <w:jc w:val="right"/>
            <w:rPr>
              <w:sz w:val="18"/>
            </w:rPr>
          </w:pPr>
          <w:r>
            <w:rPr>
              <w:sz w:val="18"/>
            </w:rPr>
            <w:t xml:space="preserve">Strona </w:t>
          </w:r>
          <w:r>
            <w:rPr>
              <w:sz w:val="18"/>
            </w:rPr>
            <w:fldChar w:fldCharType="begin"/>
          </w:r>
          <w:r>
            <w:rPr>
              <w:sz w:val="18"/>
            </w:rPr>
            <w:instrText>PAGE</w:instrText>
          </w:r>
          <w:r>
            <w:rPr>
              <w:sz w:val="18"/>
            </w:rPr>
            <w:fldChar w:fldCharType="separate"/>
          </w:r>
          <w:r w:rsidR="00877A5E">
            <w:rPr>
              <w:noProof/>
              <w:sz w:val="18"/>
            </w:rPr>
            <w:t>1</w:t>
          </w:r>
          <w:r>
            <w:rPr>
              <w:sz w:val="18"/>
            </w:rPr>
            <w:fldChar w:fldCharType="end"/>
          </w:r>
        </w:p>
      </w:tc>
    </w:tr>
  </w:tbl>
  <w:p w:rsidR="00EE4FBB" w:rsidRDefault="00EE4FBB">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2A4" w:rsidRDefault="008E12A4">
      <w:r>
        <w:separator/>
      </w:r>
    </w:p>
  </w:footnote>
  <w:footnote w:type="continuationSeparator" w:id="0">
    <w:p w:rsidR="008E12A4" w:rsidRDefault="008E1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C3C9D"/>
    <w:rsid w:val="00877A5E"/>
    <w:rsid w:val="008E12A4"/>
    <w:rsid w:val="00A77B3E"/>
    <w:rsid w:val="00CA2A55"/>
    <w:rsid w:val="00EE4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025EEE-42DA-4B42-978F-996DAD50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otrkow.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p.piotrkow.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piotrkow.p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bip.piotrkow.pl/" TargetMode="External"/><Relationship Id="rId4" Type="http://schemas.openxmlformats.org/officeDocument/2006/relationships/footnotes" Target="footnotes.xml"/><Relationship Id="rId9" Type="http://schemas.openxmlformats.org/officeDocument/2006/relationships/hyperlink" Target="http://www.bip.piotr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7014</Characters>
  <Application>Microsoft Office Word</Application>
  <DocSecurity>4</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LVII/727/22 z dnia 30 listopada 2022 r.</vt:lpstr>
      <vt:lpstr/>
    </vt:vector>
  </TitlesOfParts>
  <Company>Rada Miasta Piotrkowa Trybunalskiego</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LVII/727/22 z dnia 30 listopada 2022 r.</dc:title>
  <dc:subject>w sprawie zmiany  Uchwały Nr XXV/458/12 Rady Miasta Piotrkowa Trybunalskiego w^sprawie uchwalenia Statutu Miasta Piotrkowa Trybunalskiego</dc:subject>
  <dc:creator>Mroz_M</dc:creator>
  <cp:lastModifiedBy>Budkowska Paulina</cp:lastModifiedBy>
  <cp:revision>2</cp:revision>
  <dcterms:created xsi:type="dcterms:W3CDTF">2022-12-07T13:21:00Z</dcterms:created>
  <dcterms:modified xsi:type="dcterms:W3CDTF">2022-12-07T13:21:00Z</dcterms:modified>
  <cp:category>Akt prawny</cp:category>
</cp:coreProperties>
</file>