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8694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0E38">
        <w:rPr>
          <w:rFonts w:ascii="Arial" w:hAnsi="Arial" w:cs="Arial"/>
          <w:bCs/>
          <w:sz w:val="24"/>
          <w:szCs w:val="24"/>
        </w:rPr>
        <w:t>Uzasadnienie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Pr="00770E38">
        <w:rPr>
          <w:rFonts w:ascii="Arial" w:hAnsi="Arial" w:cs="Arial"/>
          <w:sz w:val="24"/>
          <w:szCs w:val="24"/>
        </w:rPr>
        <w:t>o projektu uchwały w sprawie wyrażenia zgody na ustanowienie służebności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70E38">
        <w:rPr>
          <w:rFonts w:ascii="Arial" w:hAnsi="Arial" w:cs="Arial"/>
          <w:sz w:val="24"/>
          <w:szCs w:val="24"/>
        </w:rPr>
        <w:t>drogowej na działce gminnej</w:t>
      </w:r>
    </w:p>
    <w:p w14:paraId="174CB4A2" w14:textId="77777777" w:rsid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4BA6EA9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Przedmiotem uchwały jest wyrażenie zgody na odpłatne obciążenie</w:t>
      </w:r>
    </w:p>
    <w:p w14:paraId="2F3431FF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nieruchomości położonej w Piotrkowie Trybunalskim przy ul. Świerczowskiej 46a</w:t>
      </w:r>
    </w:p>
    <w:p w14:paraId="006ECCFF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oznaczonej jako działka 17/11 w obrębie 35, stanowiącej własność gminy Miasto</w:t>
      </w:r>
    </w:p>
    <w:p w14:paraId="35BAFF72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Piotrków Trybunalski.</w:t>
      </w:r>
    </w:p>
    <w:p w14:paraId="61E683B7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Ustanowienie służebności przejścia i przejazdu (droga konieczna) zapewni</w:t>
      </w:r>
    </w:p>
    <w:p w14:paraId="6357FDD6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właścicielom działek 17/10, 17/16, 17/17, 17/18, 17/20, 17/21 i 17/22 w obrębie 35</w:t>
      </w:r>
    </w:p>
    <w:p w14:paraId="41B1EC55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prawny dostęp do ich nieruchomości, a tym samym pozwoli na ich prawidłowe</w:t>
      </w:r>
    </w:p>
    <w:p w14:paraId="61C460CD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zagospodarowanie, zgodnie z miejscowym planem.</w:t>
      </w:r>
    </w:p>
    <w:p w14:paraId="45C29634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Przedmiotowa służebność drogowa na działce gminnej 17/11 w obrębie 35 zostanie</w:t>
      </w:r>
    </w:p>
    <w:p w14:paraId="55091AC9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ustanowiona odpłatnie, zgodnie ze sporządzonym operatem</w:t>
      </w:r>
      <w:r>
        <w:rPr>
          <w:rFonts w:ascii="Arial" w:hAnsi="Arial" w:cs="Arial"/>
          <w:sz w:val="24"/>
          <w:szCs w:val="24"/>
        </w:rPr>
        <w:t xml:space="preserve"> szacunkowym. Kwota za </w:t>
      </w:r>
      <w:r w:rsidRPr="00770E38">
        <w:rPr>
          <w:rFonts w:ascii="Arial" w:hAnsi="Arial" w:cs="Arial"/>
          <w:sz w:val="24"/>
          <w:szCs w:val="24"/>
        </w:rPr>
        <w:t>ustanowienie przedmiotowej służebności zasili budżet Gminy.</w:t>
      </w:r>
    </w:p>
    <w:p w14:paraId="59557F50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Zgodnie z art. 145 § 1 Kodeksu Cywilnego, jeżeli ni</w:t>
      </w:r>
      <w:r>
        <w:rPr>
          <w:rFonts w:ascii="Arial" w:hAnsi="Arial" w:cs="Arial"/>
          <w:sz w:val="24"/>
          <w:szCs w:val="24"/>
        </w:rPr>
        <w:t xml:space="preserve">eruchomość nie ma odpowiedniego </w:t>
      </w:r>
      <w:r w:rsidRPr="00770E38">
        <w:rPr>
          <w:rFonts w:ascii="Arial" w:hAnsi="Arial" w:cs="Arial"/>
          <w:sz w:val="24"/>
          <w:szCs w:val="24"/>
        </w:rPr>
        <w:t>dostępu do drogi publicznej lub do należącyc</w:t>
      </w:r>
      <w:r>
        <w:rPr>
          <w:rFonts w:ascii="Arial" w:hAnsi="Arial" w:cs="Arial"/>
          <w:sz w:val="24"/>
          <w:szCs w:val="24"/>
        </w:rPr>
        <w:t xml:space="preserve">h do tej nieruchomości budynków </w:t>
      </w:r>
      <w:r w:rsidRPr="00770E38">
        <w:rPr>
          <w:rFonts w:ascii="Arial" w:hAnsi="Arial" w:cs="Arial"/>
          <w:sz w:val="24"/>
          <w:szCs w:val="24"/>
        </w:rPr>
        <w:t xml:space="preserve">gospodarskich, właściciel może żądać od właścicieli </w:t>
      </w:r>
      <w:r>
        <w:rPr>
          <w:rFonts w:ascii="Arial" w:hAnsi="Arial" w:cs="Arial"/>
          <w:sz w:val="24"/>
          <w:szCs w:val="24"/>
        </w:rPr>
        <w:t xml:space="preserve">gruntów sąsiednich ustanowienia </w:t>
      </w:r>
      <w:r w:rsidRPr="00770E38">
        <w:rPr>
          <w:rFonts w:ascii="Arial" w:hAnsi="Arial" w:cs="Arial"/>
          <w:sz w:val="24"/>
          <w:szCs w:val="24"/>
        </w:rPr>
        <w:t>za wynagrodzeniem potrzebnej służebności drog</w:t>
      </w:r>
      <w:r>
        <w:rPr>
          <w:rFonts w:ascii="Arial" w:hAnsi="Arial" w:cs="Arial"/>
          <w:sz w:val="24"/>
          <w:szCs w:val="24"/>
        </w:rPr>
        <w:t xml:space="preserve">owej (droga konieczna). Zgodnie </w:t>
      </w:r>
      <w:r w:rsidRPr="00770E38">
        <w:rPr>
          <w:rFonts w:ascii="Arial" w:hAnsi="Arial" w:cs="Arial"/>
          <w:sz w:val="24"/>
          <w:szCs w:val="24"/>
        </w:rPr>
        <w:t>z art. 285 § 1 Kodeksu Cywilnego nieruchomość możn</w:t>
      </w:r>
      <w:r>
        <w:rPr>
          <w:rFonts w:ascii="Arial" w:hAnsi="Arial" w:cs="Arial"/>
          <w:sz w:val="24"/>
          <w:szCs w:val="24"/>
        </w:rPr>
        <w:t xml:space="preserve">a obciążyć na rzecz właściciela </w:t>
      </w:r>
      <w:r w:rsidRPr="00770E38">
        <w:rPr>
          <w:rFonts w:ascii="Arial" w:hAnsi="Arial" w:cs="Arial"/>
          <w:sz w:val="24"/>
          <w:szCs w:val="24"/>
        </w:rPr>
        <w:t>innej nieruchomości (nieruchomości władnącej) pr</w:t>
      </w:r>
      <w:r>
        <w:rPr>
          <w:rFonts w:ascii="Arial" w:hAnsi="Arial" w:cs="Arial"/>
          <w:sz w:val="24"/>
          <w:szCs w:val="24"/>
        </w:rPr>
        <w:t xml:space="preserve">awem, którego treść polega bądź </w:t>
      </w:r>
      <w:r w:rsidRPr="00770E38">
        <w:rPr>
          <w:rFonts w:ascii="Arial" w:hAnsi="Arial" w:cs="Arial"/>
          <w:sz w:val="24"/>
          <w:szCs w:val="24"/>
        </w:rPr>
        <w:t>na tym, że właściciel nieruchomości władną</w:t>
      </w:r>
      <w:r>
        <w:rPr>
          <w:rFonts w:ascii="Arial" w:hAnsi="Arial" w:cs="Arial"/>
          <w:sz w:val="24"/>
          <w:szCs w:val="24"/>
        </w:rPr>
        <w:t xml:space="preserve">cej może korzystać w oznaczonym </w:t>
      </w:r>
      <w:r w:rsidRPr="00770E38">
        <w:rPr>
          <w:rFonts w:ascii="Arial" w:hAnsi="Arial" w:cs="Arial"/>
          <w:sz w:val="24"/>
          <w:szCs w:val="24"/>
        </w:rPr>
        <w:t>zakresie z nieruchomości obciążonej, bądź na t</w:t>
      </w:r>
      <w:r>
        <w:rPr>
          <w:rFonts w:ascii="Arial" w:hAnsi="Arial" w:cs="Arial"/>
          <w:sz w:val="24"/>
          <w:szCs w:val="24"/>
        </w:rPr>
        <w:t xml:space="preserve">ym, że właściciel nieruchomości </w:t>
      </w:r>
      <w:r w:rsidRPr="00770E38">
        <w:rPr>
          <w:rFonts w:ascii="Arial" w:hAnsi="Arial" w:cs="Arial"/>
          <w:sz w:val="24"/>
          <w:szCs w:val="24"/>
        </w:rPr>
        <w:t>obciążonej zostaje ograniczony w możności dokonywan</w:t>
      </w:r>
      <w:r>
        <w:rPr>
          <w:rFonts w:ascii="Arial" w:hAnsi="Arial" w:cs="Arial"/>
          <w:sz w:val="24"/>
          <w:szCs w:val="24"/>
        </w:rPr>
        <w:t xml:space="preserve">ia w stosunku do niej </w:t>
      </w:r>
      <w:r w:rsidRPr="00770E38">
        <w:rPr>
          <w:rFonts w:ascii="Arial" w:hAnsi="Arial" w:cs="Arial"/>
          <w:sz w:val="24"/>
          <w:szCs w:val="24"/>
        </w:rPr>
        <w:t>określonych działań, bądź też na tym, że właścicielo</w:t>
      </w:r>
      <w:r>
        <w:rPr>
          <w:rFonts w:ascii="Arial" w:hAnsi="Arial" w:cs="Arial"/>
          <w:sz w:val="24"/>
          <w:szCs w:val="24"/>
        </w:rPr>
        <w:t xml:space="preserve">wi nieruchomości obciążonej nie </w:t>
      </w:r>
      <w:r w:rsidRPr="00770E38">
        <w:rPr>
          <w:rFonts w:ascii="Arial" w:hAnsi="Arial" w:cs="Arial"/>
          <w:sz w:val="24"/>
          <w:szCs w:val="24"/>
        </w:rPr>
        <w:t xml:space="preserve">wolno wykonywać określonych uprawnień, </w:t>
      </w:r>
      <w:r>
        <w:rPr>
          <w:rFonts w:ascii="Arial" w:hAnsi="Arial" w:cs="Arial"/>
          <w:sz w:val="24"/>
          <w:szCs w:val="24"/>
        </w:rPr>
        <w:t xml:space="preserve">które mu względem nieruchomości </w:t>
      </w:r>
      <w:r w:rsidRPr="00770E38">
        <w:rPr>
          <w:rFonts w:ascii="Arial" w:hAnsi="Arial" w:cs="Arial"/>
          <w:sz w:val="24"/>
          <w:szCs w:val="24"/>
        </w:rPr>
        <w:t>władnącej przysługują na podstawie przepisów o treści i wykonywaniu własności.</w:t>
      </w:r>
    </w:p>
    <w:p w14:paraId="4002084A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Służebność gruntowa może mieć jedynie na celu zwiększenie użyteczności</w:t>
      </w:r>
    </w:p>
    <w:p w14:paraId="2904CBC3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nieruchomości władnącej lub jej oznaczonej części. Służebność drogi koniecznej</w:t>
      </w:r>
    </w:p>
    <w:p w14:paraId="3809B941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ustanawiana jest odpłatnie, w formie aktu notarialnego.</w:t>
      </w:r>
    </w:p>
    <w:p w14:paraId="6814BC0A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 xml:space="preserve">Zgodnie z art. 18 ust. 2 ustawy z dnia 8 marca 1990 </w:t>
      </w:r>
      <w:r>
        <w:rPr>
          <w:rFonts w:ascii="Arial" w:hAnsi="Arial" w:cs="Arial"/>
          <w:sz w:val="24"/>
          <w:szCs w:val="24"/>
        </w:rPr>
        <w:t>r. o samorządzie gminnym (Dz.U.</w:t>
      </w:r>
      <w:r w:rsidRPr="00770E38">
        <w:rPr>
          <w:rFonts w:ascii="Arial" w:hAnsi="Arial" w:cs="Arial"/>
          <w:sz w:val="24"/>
          <w:szCs w:val="24"/>
        </w:rPr>
        <w:t>2021.1372) do wyłącznej właściwości rady g</w:t>
      </w:r>
      <w:r>
        <w:rPr>
          <w:rFonts w:ascii="Arial" w:hAnsi="Arial" w:cs="Arial"/>
          <w:sz w:val="24"/>
          <w:szCs w:val="24"/>
        </w:rPr>
        <w:t xml:space="preserve">miny należy podejmowanie uchwał </w:t>
      </w:r>
      <w:r w:rsidRPr="00770E38">
        <w:rPr>
          <w:rFonts w:ascii="Arial" w:hAnsi="Arial" w:cs="Arial"/>
          <w:sz w:val="24"/>
          <w:szCs w:val="24"/>
        </w:rPr>
        <w:t>w sprawach majątkowych gminy, przekraczających zakres zwykłego zarządu, w tym</w:t>
      </w:r>
      <w:r>
        <w:rPr>
          <w:rFonts w:ascii="Arial" w:hAnsi="Arial" w:cs="Arial"/>
          <w:sz w:val="24"/>
          <w:szCs w:val="24"/>
        </w:rPr>
        <w:t xml:space="preserve"> </w:t>
      </w:r>
      <w:r w:rsidRPr="00770E38">
        <w:rPr>
          <w:rFonts w:ascii="Arial" w:hAnsi="Arial" w:cs="Arial"/>
          <w:sz w:val="24"/>
          <w:szCs w:val="24"/>
        </w:rPr>
        <w:t>nabywania i obciążania nieruchomości.</w:t>
      </w:r>
    </w:p>
    <w:p w14:paraId="7E7ECC22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lastRenderedPageBreak/>
        <w:t>Mając na uwadze powyższe podjęcie przedmiotowej uchwały jest zasadne.</w:t>
      </w:r>
    </w:p>
    <w:p w14:paraId="616A21E5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Prezydent Miasta po zapoznaniu się z całością sprawy – przyjął przygotowany</w:t>
      </w:r>
    </w:p>
    <w:p w14:paraId="3FA33D9C" w14:textId="77777777" w:rsidR="00770E38" w:rsidRPr="00770E38" w:rsidRDefault="00770E38" w:rsidP="00770E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0E38">
        <w:rPr>
          <w:rFonts w:ascii="Arial" w:hAnsi="Arial" w:cs="Arial"/>
          <w:sz w:val="24"/>
          <w:szCs w:val="24"/>
        </w:rPr>
        <w:t>w sprawie projekt uchwały i polecił przekazać go pod obrady Rady Miasta</w:t>
      </w:r>
    </w:p>
    <w:p w14:paraId="747F6754" w14:textId="77777777" w:rsidR="005D38BF" w:rsidRPr="00770E38" w:rsidRDefault="00770E38" w:rsidP="00770E38">
      <w:pPr>
        <w:spacing w:line="360" w:lineRule="auto"/>
        <w:rPr>
          <w:rFonts w:ascii="Arial" w:hAnsi="Arial" w:cs="Arial"/>
        </w:rPr>
      </w:pPr>
      <w:r w:rsidRPr="00770E38">
        <w:rPr>
          <w:rFonts w:ascii="Arial" w:hAnsi="Arial" w:cs="Arial"/>
          <w:sz w:val="24"/>
          <w:szCs w:val="24"/>
        </w:rPr>
        <w:t>po uprzednim zaopiniowaniu przez właściwe komisje problemowe Rady Miasta.</w:t>
      </w:r>
    </w:p>
    <w:sectPr w:rsidR="005D38BF" w:rsidRPr="007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CF"/>
    <w:rsid w:val="005D38BF"/>
    <w:rsid w:val="00770E38"/>
    <w:rsid w:val="00A561CF"/>
    <w:rsid w:val="00C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E3B"/>
  <w15:chartTrackingRefBased/>
  <w15:docId w15:val="{F83F4A86-83A7-49C7-9408-5335F51F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Elżbieta</dc:creator>
  <cp:keywords/>
  <dc:description/>
  <cp:lastModifiedBy>Jarzębska Monika</cp:lastModifiedBy>
  <cp:revision>2</cp:revision>
  <dcterms:created xsi:type="dcterms:W3CDTF">2021-08-19T07:51:00Z</dcterms:created>
  <dcterms:modified xsi:type="dcterms:W3CDTF">2021-08-19T07:51:00Z</dcterms:modified>
</cp:coreProperties>
</file>