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7077" w14:textId="77777777" w:rsidR="00A12532" w:rsidRPr="008003FC" w:rsidRDefault="00A12532" w:rsidP="00A12532">
      <w:pPr>
        <w:pStyle w:val="MiejscowoData"/>
      </w:pPr>
      <w:r w:rsidRPr="008003FC">
        <w:t xml:space="preserve">Piotrków Trybunalski, </w:t>
      </w:r>
      <w:bookmarkStart w:id="0" w:name="ezdDataPodpisu"/>
      <w:r w:rsidRPr="008003FC">
        <w:t>01-06-2021</w:t>
      </w:r>
      <w:bookmarkEnd w:id="0"/>
    </w:p>
    <w:p w14:paraId="56796896" w14:textId="77777777" w:rsidR="00A12532" w:rsidRDefault="00A12532" w:rsidP="00A12532">
      <w:pPr>
        <w:pStyle w:val="Piecztka1"/>
      </w:pPr>
    </w:p>
    <w:p w14:paraId="0AAE16CA" w14:textId="77777777" w:rsidR="00A12532" w:rsidRDefault="00A12532" w:rsidP="00A12532">
      <w:pPr>
        <w:pStyle w:val="Piecztka2"/>
      </w:pPr>
    </w:p>
    <w:p w14:paraId="53AD041F" w14:textId="77777777" w:rsidR="00A12532" w:rsidRDefault="00A12532" w:rsidP="00A12532">
      <w:pPr>
        <w:pStyle w:val="Znaksprawy"/>
      </w:pPr>
      <w:bookmarkStart w:id="1" w:name="ezdSprawaZnak"/>
      <w:r>
        <w:t>PKW.1711.15.2020</w:t>
      </w:r>
      <w:bookmarkEnd w:id="1"/>
    </w:p>
    <w:p w14:paraId="2F83F0B4" w14:textId="77777777" w:rsidR="00A12532" w:rsidRPr="00CA6629" w:rsidRDefault="00A12532" w:rsidP="00A12532">
      <w:pPr>
        <w:pStyle w:val="Adresat"/>
        <w:spacing w:after="680"/>
      </w:pPr>
      <w:r w:rsidRPr="00E97AEB">
        <w:rPr>
          <w:b/>
          <w:sz w:val="24"/>
          <w:szCs w:val="22"/>
        </w:rPr>
        <w:t xml:space="preserve">Pani Anna </w:t>
      </w:r>
      <w:proofErr w:type="spellStart"/>
      <w:r w:rsidRPr="00E97AEB">
        <w:rPr>
          <w:b/>
          <w:sz w:val="24"/>
          <w:szCs w:val="22"/>
        </w:rPr>
        <w:t>Boduch</w:t>
      </w:r>
      <w:proofErr w:type="spellEnd"/>
      <w:r>
        <w:rPr>
          <w:b/>
        </w:rPr>
        <w:br/>
      </w:r>
      <w:r w:rsidRPr="00E97AEB">
        <w:rPr>
          <w:b/>
          <w:sz w:val="24"/>
          <w:szCs w:val="22"/>
        </w:rPr>
        <w:t xml:space="preserve">Dyrektor Pogotowia Opiekuńczego </w:t>
      </w:r>
      <w:r>
        <w:rPr>
          <w:b/>
        </w:rPr>
        <w:br/>
      </w:r>
      <w:r w:rsidRPr="00E97AEB">
        <w:rPr>
          <w:b/>
          <w:sz w:val="24"/>
          <w:szCs w:val="22"/>
        </w:rPr>
        <w:t>w Piotrkowie Trybunalskim</w:t>
      </w:r>
      <w:r>
        <w:rPr>
          <w:b/>
        </w:rPr>
        <w:br/>
      </w:r>
      <w:r w:rsidRPr="00E97AEB">
        <w:rPr>
          <w:b/>
          <w:sz w:val="24"/>
          <w:szCs w:val="22"/>
        </w:rPr>
        <w:t>ul. Wojska Polskiego 75</w:t>
      </w:r>
      <w:r>
        <w:rPr>
          <w:b/>
          <w:sz w:val="24"/>
          <w:szCs w:val="22"/>
        </w:rPr>
        <w:br/>
      </w:r>
      <w:r w:rsidRPr="00E97AEB">
        <w:rPr>
          <w:b/>
          <w:sz w:val="24"/>
          <w:szCs w:val="22"/>
        </w:rPr>
        <w:t>97-300 Piotrków Trybunalski</w:t>
      </w:r>
    </w:p>
    <w:p w14:paraId="73B60241" w14:textId="77777777" w:rsidR="00A12532" w:rsidRPr="00DD4D60" w:rsidRDefault="00A12532" w:rsidP="00A12532">
      <w:pPr>
        <w:spacing w:after="240" w:line="240" w:lineRule="auto"/>
        <w:contextualSpacing/>
        <w:jc w:val="center"/>
      </w:pPr>
      <w:bookmarkStart w:id="2" w:name="_Hlk61333269"/>
    </w:p>
    <w:p w14:paraId="288161CA" w14:textId="77777777" w:rsidR="00A12532" w:rsidRPr="00DD4D60" w:rsidRDefault="00A12532" w:rsidP="00A12532">
      <w:pPr>
        <w:spacing w:after="240" w:line="240" w:lineRule="auto"/>
        <w:contextualSpacing/>
        <w:jc w:val="center"/>
      </w:pPr>
    </w:p>
    <w:p w14:paraId="069144B3" w14:textId="77777777" w:rsidR="00A12532" w:rsidRPr="00DD4D60" w:rsidRDefault="00A12532" w:rsidP="00A12532">
      <w:pPr>
        <w:spacing w:after="240" w:line="240" w:lineRule="auto"/>
        <w:contextualSpacing/>
        <w:jc w:val="center"/>
      </w:pPr>
    </w:p>
    <w:p w14:paraId="0E0530FE" w14:textId="77777777" w:rsidR="00A12532" w:rsidRPr="00DD4D60" w:rsidRDefault="00A12532" w:rsidP="00A12532">
      <w:pPr>
        <w:spacing w:after="240" w:line="240" w:lineRule="auto"/>
        <w:contextualSpacing/>
        <w:jc w:val="center"/>
      </w:pPr>
      <w:r w:rsidRPr="00DD4D60">
        <w:t>WYSTĄPIENIE POKONTROLNE</w:t>
      </w:r>
    </w:p>
    <w:p w14:paraId="783528F5" w14:textId="77777777" w:rsidR="00A12532" w:rsidRPr="00DD4D60" w:rsidRDefault="00A12532" w:rsidP="00A12532">
      <w:pPr>
        <w:spacing w:after="240" w:line="240" w:lineRule="auto"/>
        <w:contextualSpacing/>
        <w:jc w:val="center"/>
      </w:pPr>
    </w:p>
    <w:p w14:paraId="2A71310C" w14:textId="77777777" w:rsidR="00A12532" w:rsidRPr="00DD4D60" w:rsidRDefault="00A12532" w:rsidP="00A12532">
      <w:pPr>
        <w:spacing w:after="240" w:line="240" w:lineRule="auto"/>
        <w:ind w:left="709"/>
        <w:contextualSpacing/>
        <w:jc w:val="both"/>
      </w:pPr>
    </w:p>
    <w:p w14:paraId="53735E84" w14:textId="77777777" w:rsidR="00A12532" w:rsidRPr="00DD4D60" w:rsidRDefault="00A12532" w:rsidP="00A12532">
      <w:pPr>
        <w:spacing w:before="120" w:after="0" w:line="360" w:lineRule="auto"/>
        <w:jc w:val="both"/>
      </w:pPr>
      <w:r w:rsidRPr="00DD4D60">
        <w:t xml:space="preserve">Działając na podstawie § 11 ust. 1 regulaminu przeprowadzania kontroli przez    pracowników Biura Kontroli Urzędu Miasta Piotrkowa Trybunalskiego, wprowadzonego zarządzeniem nr 16 Prezydenta Miasta Piotrkowa Trybunalskiego z dnia 22 stycznia 2020 r., Magdalena Kudyba ‒ inspektor w Biurze Kontroli przeprowadziła w dniach od 21 grudnia 2020 r. do 29 stycznia 2021 r. z przerwą od 11 stycznia 2021 r. do 17 stycznia 2021 r. w Pogotowiu Opiekuńczym w Piotrkowie Trybunalskim (w dalszej części wystąpienia zwanym „Pogotowiem”) planową kontrolę funkcjonowania mechanizmów kontroli wewnętrznej w </w:t>
      </w:r>
      <w:r>
        <w:t xml:space="preserve">zakresie operacji finansowych i </w:t>
      </w:r>
      <w:r w:rsidRPr="00DD4D60">
        <w:t xml:space="preserve">gospodarczych w 2019 roku. </w:t>
      </w:r>
    </w:p>
    <w:p w14:paraId="0BFDE0E6" w14:textId="77777777" w:rsidR="00A12532" w:rsidRPr="00DD4D60" w:rsidRDefault="00A12532" w:rsidP="00A12532">
      <w:pPr>
        <w:spacing w:before="120" w:after="0" w:line="360" w:lineRule="auto"/>
        <w:jc w:val="both"/>
      </w:pPr>
      <w:r w:rsidRPr="00DD4D60">
        <w:t xml:space="preserve">Zgodnie z § 22 ust. 2 i 5 ww. regulaminu, przekazuję Pani niniejsze wystąpienie pokontrolne zawierające najistotniejsze ustalenia, w tym nieprawidłowości i uchybienia stwierdzone podczas sprawdzania zagadnień będących przedmiotem kontroli oraz zalecenia mające na celu ich usunięcie. Szczegółowe wyniki kontroli zostały zawarte w protokole kontroli podpisanym przez Panią bez zastrzeżeń w dniu 24 marca 2021 r. </w:t>
      </w:r>
    </w:p>
    <w:p w14:paraId="25A97D18" w14:textId="77777777" w:rsidR="00A12532" w:rsidRPr="00DD4D60" w:rsidRDefault="00A12532" w:rsidP="00A12532">
      <w:pPr>
        <w:spacing w:before="120" w:after="0" w:line="360" w:lineRule="auto"/>
        <w:jc w:val="both"/>
      </w:pPr>
      <w:r w:rsidRPr="00DD4D60">
        <w:t xml:space="preserve">W ramach czynności kontrolnych sprawdzono, czy kierowana przez Panią jednostka posiada opracowane na piśmie procedury w zakresie kontroli operacji finansowych </w:t>
      </w:r>
      <w:r w:rsidRPr="00DD4D60">
        <w:lastRenderedPageBreak/>
        <w:t>i gospodarczych, czy są one zgodne ze standardami kontroli zarządczej i dostosowane do specyfiki jednostki. Kontrolą objęto uregulowania wewnętrzne, m.in.: regulamin organizacyjny, powierzenie obowiązków i odpowiedzialności głównemu księgowemu i innym pracownikom, zasady (politykę) rachunkowości, instrukcję obiegu i kontroli dokumentów finansowo-księgowych, instrukcję kasową. Następnie dokonano oceny skuteczności przyjętych mechanizmów kontroli poprzez zbadanie następujących zagadnień:</w:t>
      </w:r>
    </w:p>
    <w:p w14:paraId="7230DBA1" w14:textId="77777777" w:rsidR="00A12532" w:rsidRPr="00DD4D60" w:rsidRDefault="00A12532" w:rsidP="00A12532">
      <w:pPr>
        <w:numPr>
          <w:ilvl w:val="0"/>
          <w:numId w:val="4"/>
        </w:numPr>
        <w:spacing w:before="120" w:after="0" w:line="360" w:lineRule="auto"/>
        <w:ind w:left="425" w:hanging="357"/>
        <w:contextualSpacing/>
        <w:jc w:val="both"/>
      </w:pPr>
      <w:r w:rsidRPr="00DD4D60">
        <w:t xml:space="preserve">Funkcjonowanie kontroli wewnętrznej w zakresie operacji bezgotówkowych (prawidłowość konfiguracji uprawnień do dyspozycji środkami pieniężnymi na rachunkach bankowych, zgodność operacji bankowych z dokumentami źródłowymi oraz ewidencją księgową). </w:t>
      </w:r>
    </w:p>
    <w:p w14:paraId="5766AE7E" w14:textId="77777777" w:rsidR="00A12532" w:rsidRPr="00DD4D60" w:rsidRDefault="00A12532" w:rsidP="00A12532">
      <w:pPr>
        <w:numPr>
          <w:ilvl w:val="0"/>
          <w:numId w:val="4"/>
        </w:numPr>
        <w:spacing w:before="120" w:after="0" w:line="360" w:lineRule="auto"/>
        <w:ind w:left="425" w:hanging="357"/>
        <w:contextualSpacing/>
        <w:jc w:val="both"/>
      </w:pPr>
      <w:r w:rsidRPr="00DD4D60">
        <w:t xml:space="preserve">Obieg dokumentów księgowych będących podstawą wydatków osobowych i rzeczowych (prawidłowość sporządzania dokumentów będących podstawą wypłaty wynagrodzeń, kontrola merytoryczna i formalno-rachunkowa dokumentów księgowych, wstępna kontrola głównego księgowego, zatwierdzanie do wypłaty przez kierownika jednostki lub osoby przez niego upoważnione, potwierdzenie zakwalifikowania dowodu do ujęcia w księgach rachunkowych </w:t>
      </w:r>
      <w:r>
        <w:t xml:space="preserve">– </w:t>
      </w:r>
      <w:r w:rsidRPr="00DD4D60">
        <w:t>dekretacja).</w:t>
      </w:r>
    </w:p>
    <w:p w14:paraId="1940ED1F" w14:textId="77777777" w:rsidR="00A12532" w:rsidRPr="00DD4D60" w:rsidRDefault="00A12532" w:rsidP="00A12532">
      <w:pPr>
        <w:numPr>
          <w:ilvl w:val="0"/>
          <w:numId w:val="4"/>
        </w:numPr>
        <w:spacing w:before="120" w:after="0" w:line="360" w:lineRule="auto"/>
        <w:ind w:left="425" w:hanging="357"/>
        <w:contextualSpacing/>
        <w:jc w:val="both"/>
      </w:pPr>
      <w:r w:rsidRPr="00DD4D60">
        <w:t>Gospodarka kasowa (sporządzanie raportów kasowych, dokumentowanie przyjęcia i wypłaty gotówki z kasy, ewidencja druków ścisłego zarachowania, inwentaryzacja kasy i druków ścisłego zarachowania).</w:t>
      </w:r>
    </w:p>
    <w:p w14:paraId="6AD56D77" w14:textId="77777777" w:rsidR="00A12532" w:rsidRPr="00DD4D60" w:rsidRDefault="00A12532" w:rsidP="00A12532">
      <w:pPr>
        <w:numPr>
          <w:ilvl w:val="0"/>
          <w:numId w:val="4"/>
        </w:numPr>
        <w:spacing w:before="120" w:after="0" w:line="360" w:lineRule="auto"/>
        <w:ind w:left="425" w:hanging="357"/>
        <w:contextualSpacing/>
        <w:jc w:val="both"/>
      </w:pPr>
      <w:r w:rsidRPr="00DD4D60">
        <w:t>Przestrzeganie zasad zaciągania zobowiązań i dokonywania wydatków ze środków publicznych (terminowość regulowania zobowiązań, przestrzeganie przepisów dotyczących udzielania zamówień publicznych).</w:t>
      </w:r>
    </w:p>
    <w:p w14:paraId="18D558B5" w14:textId="77777777" w:rsidR="00A12532" w:rsidRPr="00DD4D60" w:rsidRDefault="00A12532" w:rsidP="00A12532">
      <w:pPr>
        <w:numPr>
          <w:ilvl w:val="0"/>
          <w:numId w:val="4"/>
        </w:numPr>
        <w:spacing w:before="120" w:after="0" w:line="360" w:lineRule="auto"/>
        <w:ind w:left="425" w:hanging="357"/>
        <w:contextualSpacing/>
        <w:jc w:val="both"/>
      </w:pPr>
      <w:r w:rsidRPr="00DD4D60">
        <w:t>Realizacja i ewidencja księgowa dochodów budżetowych (ewidencja szczegółowa do konta 221).</w:t>
      </w:r>
    </w:p>
    <w:p w14:paraId="4BB8CF93" w14:textId="77777777" w:rsidR="00A12532" w:rsidRPr="00DD4D60" w:rsidRDefault="00A12532" w:rsidP="00A12532">
      <w:pPr>
        <w:numPr>
          <w:ilvl w:val="0"/>
          <w:numId w:val="4"/>
        </w:numPr>
        <w:spacing w:before="120" w:after="0" w:line="360" w:lineRule="auto"/>
        <w:ind w:left="425" w:hanging="357"/>
        <w:contextualSpacing/>
        <w:jc w:val="both"/>
      </w:pPr>
      <w:r w:rsidRPr="00DD4D60">
        <w:t>Prowadzenie ksiąg rachunkowych jednostki, w tym: miejsce i sposób prowadzenia ksiąg, prawidłowość zapisów księgowych, zamykanie okresów sprawozdawczych oraz sporządzanie zestawień obrotów i sald, prawidłowość funkcjonowania kont zespołu 1 i 2, zgodność danych wykazanych w sprawozdaniach budżetowych z ewidencją księgową i badanymi dowodami księgowymi.</w:t>
      </w:r>
    </w:p>
    <w:p w14:paraId="0C00209C" w14:textId="77777777" w:rsidR="00A12532" w:rsidRPr="00DD4D60" w:rsidRDefault="00A12532" w:rsidP="00A12532">
      <w:pPr>
        <w:spacing w:before="120" w:after="0" w:line="360" w:lineRule="auto"/>
        <w:jc w:val="both"/>
      </w:pPr>
      <w:r w:rsidRPr="00DD4D60">
        <w:t xml:space="preserve">Na podstawie wyników przeprowadzonej kontroli, funkcjonowanie mechanizmów kontroli wewnętrznej w jednostce w 2019 r. ocenia się pozytywnie z zastrzeżeniami, dotyczącymi przede wszystkim organizacji systemu rachunkowości i prowadzenia ksiąg rachunkowych, </w:t>
      </w:r>
      <w:r w:rsidRPr="00DD4D60">
        <w:lastRenderedPageBreak/>
        <w:t>omówionymi w dalszej części wystąpienia</w:t>
      </w:r>
      <w:r>
        <w:t xml:space="preserve">. </w:t>
      </w:r>
      <w:r w:rsidRPr="00DD4D60">
        <w:t>Powyższa ocena wynika z faktu, iż większość zadań dotyczących badanych obszarów jednostka wykonywała prawidłowo. Realizując postanowienia art. 10 ust. 2 ustawy z dnia 29 września 1994 r. o rachunkowości</w:t>
      </w:r>
      <w:r>
        <w:rPr>
          <w:rFonts w:cs="Arial"/>
          <w:szCs w:val="24"/>
          <w:vertAlign w:val="superscript"/>
        </w:rPr>
        <w:footnoteReference w:id="1"/>
      </w:r>
      <w:r w:rsidRPr="00DD4D60">
        <w:t>, ustalono w formie pisemnej zasady rachunkowości, wraz z opisem obiegu i kontroli dokumentów finansowo-księgowych. Zdefiniowano mechanizmy kontroli dotyczące systemów informatycznych, służące zapewnieniu bezpieczeństwa danych. Pracownicy posiadali upoważnienia do przetwarzania danych osobowych. Badane dokumenty, będące podstawą dokonania wydatków zostały poddane kontroli merytoryczn</w:t>
      </w:r>
      <w:r>
        <w:t>ej i formalno-rachunkowej przez </w:t>
      </w:r>
      <w:r w:rsidRPr="00DD4D60">
        <w:t>upoważnionych pracowników i zatwierdzone do wypłaty przez Dyrektora. Ustalenia kontroli w zakresie naliczenia i wypłaty wynagrodzeń nie wykazały nieprawidłowości. Stwierdzono zgodność numerów rachunków bankowych odbiorców, tytułów płatności oraz kwot operacji na wyciągach bankowych z dokumentami źródłowymi. Dochody budżetowe odprowadzano na właściwy rachunek budżetu Miasta Piotrkowa Trybunalskiego. Dane wykazane w sprawozdaniach z wykonania planu wyd</w:t>
      </w:r>
      <w:r>
        <w:t>atków i dochodów budżetowych za </w:t>
      </w:r>
      <w:r w:rsidRPr="00DD4D60">
        <w:t>poszczególne okresy sprawozdawcze były zgodne z danymi z ewidencji księgowej na kontach analitycznych wydatków i dochodów konta 130 – „Rachunek bieżący</w:t>
      </w:r>
      <w:r>
        <w:t xml:space="preserve"> jednostki</w:t>
      </w:r>
      <w:r w:rsidRPr="00DD4D60">
        <w:t xml:space="preserve">”. Obrót gotówki w jednostce odbywał się zgodnie z obowiązującą instrukcją kasową i był prawidłowo dokumentowany. Na pozytywną ocenę miały wpływ </w:t>
      </w:r>
      <w:r>
        <w:t>również działania podjęte przez </w:t>
      </w:r>
      <w:r w:rsidRPr="00DD4D60">
        <w:t>jednostkę w trakcie kontroli w celu bieżącego wy</w:t>
      </w:r>
      <w:r>
        <w:t>eliminowania nieprawidłowości i </w:t>
      </w:r>
      <w:r w:rsidRPr="00DD4D60">
        <w:t>uchybień, przede wszystkim dotyczących nieprawid</w:t>
      </w:r>
      <w:r>
        <w:t>łowego powierzenia obowiązków z </w:t>
      </w:r>
      <w:r w:rsidRPr="00DD4D60">
        <w:t>zakresu gospodarki finansowej. Odnośnie uchybień wyelimino</w:t>
      </w:r>
      <w:r>
        <w:t xml:space="preserve">wanych w trakcie kontroli lub o </w:t>
      </w:r>
      <w:r w:rsidRPr="00DD4D60">
        <w:t xml:space="preserve">charakterze incydentalnym nie formułowano wniosków pokontrolnych. Uwagi odnoszące się do tych zagadnień zawarto w treści protokołu kontroli. </w:t>
      </w:r>
    </w:p>
    <w:p w14:paraId="7BEFAADA" w14:textId="77777777" w:rsidR="00A12532" w:rsidRPr="00DD4D60" w:rsidRDefault="00A12532" w:rsidP="00A12532">
      <w:pPr>
        <w:spacing w:before="120" w:after="0" w:line="360" w:lineRule="auto"/>
        <w:jc w:val="both"/>
      </w:pPr>
      <w:r w:rsidRPr="00DD4D60">
        <w:t xml:space="preserve">Poniżej podaję stwierdzone nieprawidłowości i uchybienia, oraz wnioski, co do sposobu ich wyeliminowania. </w:t>
      </w:r>
    </w:p>
    <w:p w14:paraId="347A7784" w14:textId="77777777" w:rsidR="00A12532" w:rsidRPr="00DD4D60" w:rsidRDefault="00A12532" w:rsidP="00A12532">
      <w:pPr>
        <w:keepNext/>
        <w:spacing w:before="120" w:after="0" w:line="360" w:lineRule="auto"/>
        <w:jc w:val="both"/>
        <w:outlineLvl w:val="0"/>
        <w:rPr>
          <w:b/>
        </w:rPr>
      </w:pPr>
      <w:r w:rsidRPr="00DD4D60">
        <w:rPr>
          <w:b/>
        </w:rPr>
        <w:t>W zakresie ustalenia zasad (polityki) rachunkowości</w:t>
      </w:r>
    </w:p>
    <w:p w14:paraId="5947C26B" w14:textId="77777777" w:rsidR="00A12532" w:rsidRPr="00DD4D60" w:rsidRDefault="00A12532" w:rsidP="00A12532">
      <w:pPr>
        <w:numPr>
          <w:ilvl w:val="0"/>
          <w:numId w:val="6"/>
        </w:numPr>
        <w:spacing w:before="120" w:after="0" w:line="360" w:lineRule="auto"/>
        <w:jc w:val="both"/>
        <w:rPr>
          <w:rFonts w:eastAsia="Times New Roman" w:cs="Arial"/>
          <w:szCs w:val="24"/>
          <w:lang w:eastAsia="pl-PL"/>
        </w:rPr>
      </w:pPr>
      <w:r w:rsidRPr="00DD4D60">
        <w:rPr>
          <w:rFonts w:eastAsia="Times New Roman" w:cs="Arial"/>
          <w:szCs w:val="24"/>
          <w:lang w:eastAsia="pl-PL"/>
        </w:rPr>
        <w:t xml:space="preserve">W zasadach rachunkowości wprowadzonych zarządzeniem nr 7/2018 Dyrektora Pogotowia z dnia 19 lutego 2018 r., przywołana została nieaktualna podstawa prawna, tj. rozporządzenie Ministra Finansów z dnia 5 lipca 2010 r. w sprawie szczegółowych zasad rachunkowości oraz planów kont dla budżetów państwa, budżetów jednostek samorządu terytorialnego oraz niektórych jednostek sektora finansów publicznych, </w:t>
      </w:r>
      <w:r w:rsidRPr="00DD4D60">
        <w:rPr>
          <w:rFonts w:eastAsia="Times New Roman" w:cs="Arial"/>
          <w:szCs w:val="24"/>
          <w:lang w:eastAsia="pl-PL"/>
        </w:rPr>
        <w:lastRenderedPageBreak/>
        <w:t>które zostało uchylone z dniem 1 stycznia 2018 r. i zastąpione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p>
    <w:p w14:paraId="30FA56F1" w14:textId="77777777" w:rsidR="00A12532" w:rsidRPr="00DD4D60" w:rsidRDefault="00A12532" w:rsidP="00A12532">
      <w:pPr>
        <w:numPr>
          <w:ilvl w:val="0"/>
          <w:numId w:val="6"/>
        </w:numPr>
        <w:spacing w:before="120" w:after="0" w:line="360" w:lineRule="auto"/>
        <w:jc w:val="both"/>
        <w:rPr>
          <w:rFonts w:eastAsia="Times New Roman" w:cs="Arial"/>
          <w:szCs w:val="24"/>
          <w:lang w:eastAsia="pl-PL"/>
        </w:rPr>
      </w:pPr>
      <w:r w:rsidRPr="00DD4D60">
        <w:rPr>
          <w:rFonts w:eastAsia="Times New Roman" w:cs="Arial"/>
          <w:szCs w:val="24"/>
          <w:lang w:eastAsia="pl-PL"/>
        </w:rPr>
        <w:t>Dokumentacja systemu rachunkowości jednostki nie spełniała wszystkich ustawowych wymogów wynikających z ustawy o rachunkowości oraz zarządzenia Prezydenta Miasta Piotrkowa Trybunalskiego sprawie centralizacji VAT</w:t>
      </w:r>
      <w:r>
        <w:rPr>
          <w:rFonts w:eastAsia="Times New Roman" w:cs="Arial"/>
          <w:szCs w:val="24"/>
          <w:lang w:eastAsia="pl-PL"/>
        </w:rPr>
        <w:t>,</w:t>
      </w:r>
      <w:r w:rsidRPr="00DD4D60">
        <w:rPr>
          <w:rFonts w:eastAsia="Times New Roman" w:cs="Arial"/>
          <w:szCs w:val="24"/>
          <w:lang w:eastAsia="pl-PL"/>
        </w:rPr>
        <w:t xml:space="preserve"> w szczególności: </w:t>
      </w:r>
    </w:p>
    <w:p w14:paraId="0EE62DC0" w14:textId="77777777" w:rsidR="00A12532" w:rsidRPr="00DD4D60" w:rsidRDefault="00A12532" w:rsidP="00A12532">
      <w:pPr>
        <w:numPr>
          <w:ilvl w:val="0"/>
          <w:numId w:val="7"/>
        </w:numPr>
        <w:spacing w:after="0" w:line="360" w:lineRule="auto"/>
        <w:ind w:left="993"/>
        <w:jc w:val="both"/>
        <w:rPr>
          <w:szCs w:val="24"/>
        </w:rPr>
      </w:pPr>
      <w:r w:rsidRPr="00DD4D60">
        <w:t>W zasadach rachunkowości znajdował się zapis, cyt. „jednostka przyjmuje zasady centralizacji rozliczeń podatku od towaró</w:t>
      </w:r>
      <w:r>
        <w:t>w i usług VAT określonych przez   </w:t>
      </w:r>
      <w:r w:rsidRPr="00DD4D60">
        <w:t xml:space="preserve">Prezydenta Miasta Piotrkowa Trybunalskiego wprowadzonych zarządzeniem obowiązującym jednostki podległe”. Pomimo tego nie utworzono kont analitycznych do konta 225 "Rozrachunki z budżetami", dotyczących rozliczenia podatku VAT określonych w zarządzeniu nr 357 Prezydenta Miasta Piotrkowa Trybunalskiego z dnia 07.09.2018 r. w sprawie zasad centralizacji rozliczeń podatku od towarów i usług VAT obowiązujących w Mieście Piotrków Trybunalski. </w:t>
      </w:r>
    </w:p>
    <w:p w14:paraId="2F75DC31" w14:textId="77777777" w:rsidR="00A12532" w:rsidRPr="00DD4D60" w:rsidRDefault="00A12532" w:rsidP="00A12532">
      <w:pPr>
        <w:numPr>
          <w:ilvl w:val="0"/>
          <w:numId w:val="7"/>
        </w:numPr>
        <w:spacing w:before="120" w:after="0" w:line="360" w:lineRule="auto"/>
        <w:ind w:left="993"/>
        <w:jc w:val="both"/>
        <w:rPr>
          <w:szCs w:val="24"/>
        </w:rPr>
      </w:pPr>
      <w:r w:rsidRPr="00DD4D60">
        <w:t>W zakładowym planie kont jednostka nie wykazała kont ksiąg pomocniczych i nie opisała zasad ich prowadzenia i powiązania z kontami księgi głównej oraz nie uwzględniła wynikającej ze specyfiki programu finansowo</w:t>
      </w:r>
      <w:r>
        <w:t>-</w:t>
      </w:r>
      <w:r w:rsidRPr="00DD4D60">
        <w:t xml:space="preserve">księgowego analityki kont, zorganizowanej w postaci tzw. „słowników” (obejmujących m.in. klasyfikację budżetową i kontrahentów). Zgodnie z art. 10 ust. 1 pkt 3 lit. a </w:t>
      </w:r>
      <w:r>
        <w:t xml:space="preserve">ustawy </w:t>
      </w:r>
      <w:r>
        <w:rPr>
          <w:szCs w:val="24"/>
        </w:rPr>
        <w:t>z dnia 29 września 1994 r.</w:t>
      </w:r>
      <w:r>
        <w:t xml:space="preserve"> </w:t>
      </w:r>
      <w:r w:rsidRPr="00DD4D60">
        <w:t>określony w zasadach rachunkowości zakładowy plan kont powinien ustalać m.in. zasady prowadzenia kont ksiąg pomocniczych oraz ich powiązania z kontami księgi głównej.</w:t>
      </w:r>
    </w:p>
    <w:p w14:paraId="578D1B8A" w14:textId="77777777" w:rsidR="00A12532" w:rsidRPr="00DD4D60" w:rsidRDefault="00A12532" w:rsidP="00A12532">
      <w:pPr>
        <w:numPr>
          <w:ilvl w:val="0"/>
          <w:numId w:val="7"/>
        </w:numPr>
        <w:spacing w:before="120" w:after="0" w:line="360" w:lineRule="auto"/>
        <w:ind w:left="993"/>
        <w:jc w:val="both"/>
        <w:rPr>
          <w:szCs w:val="24"/>
        </w:rPr>
      </w:pPr>
      <w:r w:rsidRPr="00DD4D60">
        <w:rPr>
          <w:szCs w:val="24"/>
        </w:rPr>
        <w:t xml:space="preserve">W zasadach rachunkowości nie określono wersji programu Księgowość </w:t>
      </w:r>
      <w:proofErr w:type="spellStart"/>
      <w:r w:rsidRPr="00DD4D60">
        <w:rPr>
          <w:szCs w:val="24"/>
        </w:rPr>
        <w:t>Optivum</w:t>
      </w:r>
      <w:proofErr w:type="spellEnd"/>
      <w:r w:rsidRPr="00DD4D60">
        <w:rPr>
          <w:szCs w:val="24"/>
        </w:rPr>
        <w:t xml:space="preserve">, służącego do prowadzenia ksiąg rachunkowych oraz pozostałych programów firmy </w:t>
      </w:r>
      <w:proofErr w:type="spellStart"/>
      <w:r w:rsidRPr="00DD4D60">
        <w:rPr>
          <w:szCs w:val="24"/>
        </w:rPr>
        <w:t>Vulcan</w:t>
      </w:r>
      <w:proofErr w:type="spellEnd"/>
      <w:r w:rsidRPr="00DD4D60">
        <w:rPr>
          <w:szCs w:val="24"/>
        </w:rPr>
        <w:t>, a także nie opisano algorytm</w:t>
      </w:r>
      <w:r>
        <w:rPr>
          <w:szCs w:val="24"/>
        </w:rPr>
        <w:t>ów i parametrów używanych przez </w:t>
      </w:r>
      <w:r w:rsidRPr="00DD4D60">
        <w:rPr>
          <w:szCs w:val="24"/>
        </w:rPr>
        <w:t>program finansowo-księgowy, co było niezgodne z art. 10 ust. 1 pkt 3 lit. c. ustawy o rachunkowości. Ponadto nie wskazano nazw zbiorów (plików baz danych) stanowiących księgi rachunkowe, a także wzajemnych powiązań oraz funkcji poszczególnych wymienionych programów w</w:t>
      </w:r>
      <w:r>
        <w:rPr>
          <w:szCs w:val="24"/>
        </w:rPr>
        <w:t> </w:t>
      </w:r>
      <w:r w:rsidRPr="00DD4D60">
        <w:rPr>
          <w:szCs w:val="24"/>
        </w:rPr>
        <w:t xml:space="preserve">organizacji całości ksiąg </w:t>
      </w:r>
      <w:r w:rsidRPr="00DD4D60">
        <w:rPr>
          <w:szCs w:val="24"/>
        </w:rPr>
        <w:lastRenderedPageBreak/>
        <w:t xml:space="preserve">rachunkowych, co  stanowiło naruszenie art. </w:t>
      </w:r>
      <w:r>
        <w:rPr>
          <w:szCs w:val="24"/>
        </w:rPr>
        <w:t>10 ust. 1 pkt 3 lit. b ustawy o </w:t>
      </w:r>
      <w:r w:rsidRPr="00DD4D60">
        <w:rPr>
          <w:szCs w:val="24"/>
        </w:rPr>
        <w:t xml:space="preserve">rachunkowości. </w:t>
      </w:r>
    </w:p>
    <w:p w14:paraId="5B6671DF" w14:textId="77777777" w:rsidR="00A12532" w:rsidRPr="00DD4D60" w:rsidRDefault="00A12532" w:rsidP="00A12532">
      <w:pPr>
        <w:numPr>
          <w:ilvl w:val="0"/>
          <w:numId w:val="7"/>
        </w:numPr>
        <w:spacing w:before="120" w:after="0" w:line="360" w:lineRule="auto"/>
        <w:ind w:left="993"/>
        <w:jc w:val="both"/>
        <w:rPr>
          <w:rFonts w:eastAsia="Times New Roman" w:cs="Arial"/>
          <w:szCs w:val="24"/>
          <w:lang w:eastAsia="pl-PL"/>
        </w:rPr>
      </w:pPr>
      <w:r w:rsidRPr="00DD4D60">
        <w:rPr>
          <w:rFonts w:eastAsia="Times New Roman" w:cs="Arial"/>
          <w:szCs w:val="24"/>
          <w:lang w:eastAsia="pl-PL"/>
        </w:rPr>
        <w:t>W zasadach rachunkowości nie uwzględniono wymo</w:t>
      </w:r>
      <w:r>
        <w:rPr>
          <w:rFonts w:eastAsia="Times New Roman" w:cs="Arial"/>
          <w:szCs w:val="24"/>
          <w:lang w:eastAsia="pl-PL"/>
        </w:rPr>
        <w:t xml:space="preserve">gów jakie muszą być spełnione w </w:t>
      </w:r>
      <w:r w:rsidRPr="00DD4D60">
        <w:rPr>
          <w:rFonts w:eastAsia="Times New Roman" w:cs="Arial"/>
          <w:szCs w:val="24"/>
          <w:lang w:eastAsia="pl-PL"/>
        </w:rPr>
        <w:t>prowadzeniu ksiąg rachunkowych przy użyciu komputera.</w:t>
      </w:r>
      <w:r>
        <w:rPr>
          <w:rFonts w:eastAsia="Times New Roman" w:cs="Arial"/>
          <w:color w:val="333333"/>
          <w:szCs w:val="24"/>
          <w:shd w:val="clear" w:color="auto" w:fill="FFFFFF"/>
          <w:lang w:eastAsia="pl-PL"/>
        </w:rPr>
        <w:t xml:space="preserve"> Mając na   </w:t>
      </w:r>
      <w:r w:rsidRPr="00DD4D60">
        <w:rPr>
          <w:rFonts w:eastAsia="Times New Roman" w:cs="Arial"/>
          <w:color w:val="333333"/>
          <w:szCs w:val="24"/>
          <w:shd w:val="clear" w:color="auto" w:fill="FFFFFF"/>
          <w:lang w:eastAsia="pl-PL"/>
        </w:rPr>
        <w:t xml:space="preserve">względzie treść przepisów określonych </w:t>
      </w:r>
      <w:r w:rsidRPr="00DD4D60">
        <w:rPr>
          <w:rFonts w:eastAsia="Times New Roman" w:cs="Arial"/>
          <w:szCs w:val="24"/>
          <w:shd w:val="clear" w:color="auto" w:fill="FFFFFF"/>
          <w:lang w:eastAsia="pl-PL"/>
        </w:rPr>
        <w:t>w </w:t>
      </w:r>
      <w:hyperlink r:id="rId7" w:anchor="/document/16796295?unitId=art(13)ust(6)&amp;cm=DOCUMENT" w:history="1">
        <w:r w:rsidRPr="00DD4D60">
          <w:rPr>
            <w:rFonts w:eastAsia="Times New Roman" w:cs="Arial"/>
            <w:szCs w:val="24"/>
            <w:shd w:val="clear" w:color="auto" w:fill="FFFFFF"/>
            <w:lang w:eastAsia="pl-PL"/>
          </w:rPr>
          <w:t>art. 13 ust. 6</w:t>
        </w:r>
      </w:hyperlink>
      <w:r>
        <w:rPr>
          <w:rFonts w:eastAsia="Times New Roman" w:cs="Arial"/>
          <w:szCs w:val="24"/>
          <w:shd w:val="clear" w:color="auto" w:fill="FFFFFF"/>
          <w:lang w:eastAsia="pl-PL"/>
        </w:rPr>
        <w:t xml:space="preserve"> ustawy o </w:t>
      </w:r>
      <w:r w:rsidRPr="00DD4D60">
        <w:rPr>
          <w:rFonts w:eastAsia="Times New Roman" w:cs="Arial"/>
          <w:szCs w:val="24"/>
          <w:shd w:val="clear" w:color="auto" w:fill="FFFFFF"/>
          <w:lang w:eastAsia="pl-PL"/>
        </w:rPr>
        <w:t>rachunkowości, zgodnie z którym księgi rachunkowe należy wydrukować nie później niż na koniec roku obrotowego, jednakże za równoważne z wydrukiem uznaje się przeniesienie treści ksiąg rachunkowych na informatyczny nośnik danych, zapewniający trwałość zapisu inform</w:t>
      </w:r>
      <w:r>
        <w:rPr>
          <w:rFonts w:eastAsia="Times New Roman" w:cs="Arial"/>
          <w:szCs w:val="24"/>
          <w:shd w:val="clear" w:color="auto" w:fill="FFFFFF"/>
          <w:lang w:eastAsia="pl-PL"/>
        </w:rPr>
        <w:t>acji, przez czas nie krótszy od </w:t>
      </w:r>
      <w:r w:rsidRPr="00DD4D60">
        <w:rPr>
          <w:rFonts w:eastAsia="Times New Roman" w:cs="Arial"/>
          <w:szCs w:val="24"/>
          <w:shd w:val="clear" w:color="auto" w:fill="FFFFFF"/>
          <w:lang w:eastAsia="pl-PL"/>
        </w:rPr>
        <w:t>wymaganego dla przechowywania ksiąg rachunkowych</w:t>
      </w:r>
      <w:r w:rsidRPr="00DD4D60">
        <w:rPr>
          <w:rFonts w:eastAsia="Times New Roman" w:cs="Arial"/>
          <w:szCs w:val="24"/>
          <w:lang w:eastAsia="pl-PL"/>
        </w:rPr>
        <w:t xml:space="preserve"> decyzję, w jakiej formie przechowywane będą księgi rach</w:t>
      </w:r>
      <w:r>
        <w:rPr>
          <w:rFonts w:eastAsia="Times New Roman" w:cs="Arial"/>
          <w:szCs w:val="24"/>
          <w:lang w:eastAsia="pl-PL"/>
        </w:rPr>
        <w:t>unkowe – jako papierowe wydruki</w:t>
      </w:r>
      <w:r w:rsidRPr="00DD4D60">
        <w:rPr>
          <w:rFonts w:eastAsia="Times New Roman" w:cs="Arial"/>
          <w:szCs w:val="24"/>
          <w:lang w:eastAsia="pl-PL"/>
        </w:rPr>
        <w:t xml:space="preserve"> czy ko</w:t>
      </w:r>
      <w:r>
        <w:rPr>
          <w:rFonts w:eastAsia="Times New Roman" w:cs="Arial"/>
          <w:szCs w:val="24"/>
          <w:lang w:eastAsia="pl-PL"/>
        </w:rPr>
        <w:t>pie cyfrowe na nośnikach danych –</w:t>
      </w:r>
      <w:r w:rsidRPr="00DD4D60">
        <w:rPr>
          <w:rFonts w:eastAsia="Times New Roman" w:cs="Arial"/>
          <w:szCs w:val="24"/>
          <w:lang w:eastAsia="pl-PL"/>
        </w:rPr>
        <w:t xml:space="preserve"> pozostawiono kierownikowi jednostki, który powinien to określić w zasadach rachunkowości.</w:t>
      </w:r>
    </w:p>
    <w:p w14:paraId="042B51B4" w14:textId="77777777" w:rsidR="00A12532" w:rsidRPr="00DD4D60" w:rsidRDefault="00A12532" w:rsidP="00A12532">
      <w:pPr>
        <w:numPr>
          <w:ilvl w:val="0"/>
          <w:numId w:val="6"/>
        </w:numPr>
        <w:spacing w:before="120" w:after="0" w:line="360" w:lineRule="auto"/>
        <w:jc w:val="both"/>
      </w:pPr>
      <w:r w:rsidRPr="00DD4D60">
        <w:t>Jako zbiory tworzące księgi rachunkowe wymieniono jedynie dziennik główny i zestawienie obrotów i sald. Powyższy zapis był niezgodny z art. 13 ust. 1 ustawy o rachunkowości, gdyż nie uwzględniał wszystkich zbiorów tworzących księgi rachunkowe wymienionych w tym artykule, którymi są: dziennik, księga główna, księgi pomocnicze, zestawienia: obrotów i sald kont księgi głównej oraz sald kont ksiąg pomocniczych, wykaz składników aktywów i pasywów (inwentarz).</w:t>
      </w:r>
    </w:p>
    <w:p w14:paraId="0CEA2A21" w14:textId="77777777" w:rsidR="00A12532" w:rsidRPr="00DD4D60" w:rsidRDefault="00A12532" w:rsidP="00A12532">
      <w:pPr>
        <w:numPr>
          <w:ilvl w:val="0"/>
          <w:numId w:val="6"/>
        </w:numPr>
        <w:spacing w:before="120" w:after="0" w:line="360" w:lineRule="auto"/>
        <w:jc w:val="both"/>
      </w:pPr>
      <w:r w:rsidRPr="00DD4D60">
        <w:rPr>
          <w:szCs w:val="24"/>
        </w:rPr>
        <w:t>Wskazana w zasadach rachunkowości data ostatecznego zamknięcia ksiąg rachunkowych, tj. 30 kwietnia roku następnego, była niezgodna z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Pr>
          <w:vertAlign w:val="superscript"/>
        </w:rPr>
        <w:footnoteReference w:id="2"/>
      </w:r>
      <w:r w:rsidRPr="00DD4D60">
        <w:rPr>
          <w:szCs w:val="24"/>
        </w:rPr>
        <w:t xml:space="preserve"> Powyższy zapis przekładał się na błędną praktykę – księgi zostały zamknięte w terminie niezgodnym z ww. rozporządzeniem.</w:t>
      </w:r>
    </w:p>
    <w:p w14:paraId="0E5EEF43" w14:textId="77777777" w:rsidR="00A12532" w:rsidRPr="00DD4D60" w:rsidRDefault="00A12532" w:rsidP="00A12532">
      <w:pPr>
        <w:numPr>
          <w:ilvl w:val="0"/>
          <w:numId w:val="6"/>
        </w:numPr>
        <w:spacing w:before="120" w:after="0" w:line="360" w:lineRule="auto"/>
        <w:jc w:val="both"/>
      </w:pPr>
      <w:r w:rsidRPr="00DD4D60">
        <w:t>Zgodnie z prz</w:t>
      </w:r>
      <w:r>
        <w:t>y</w:t>
      </w:r>
      <w:r w:rsidRPr="00DD4D60">
        <w:t xml:space="preserve">jętymi w jednostce zasadami rachunkowości, w trakcie roku faktury za zakup towarów i usług obciążają koszty tego miesiąca, w którym wpłynęły do księgowości, przy czym za datę wpływu do księgowości przyjęto datę dokonania kontroli faktury pod względem formalnym i rachunkowym, a za datę księgowania </w:t>
      </w:r>
      <w:r w:rsidRPr="00DD4D60">
        <w:lastRenderedPageBreak/>
        <w:t>przyjęto datę zatwierdzenia dokumentu do zapłaty (szczegółowy opis w protokole kontroli s. 11-13, 29-31). Powyższy zapis był niezgodny z przepisami ustawy o rachunkowości, a w szczególności z zasadą memoriału, wyrażoną w art. 6 ustawy, nakazującą ujmowanie kosztów i przychodów do okresu, którego dotyczą oraz ogólną zasadą wyrażoną w art. 4 ust. 1 ustawy, który stanowi, że jednostki obowiązane są stosować przyjęte zasady (politykę) rachunkowości, rzetelnie i jasno przedstawiając sytuację majątkową i finansową oraz wynik finansowy. Realizacja tego obowiązku możliwa jest pod warunkiem pr</w:t>
      </w:r>
      <w:r>
        <w:t>zestrzegania przepisów ustawy,</w:t>
      </w:r>
      <w:r w:rsidRPr="00DD4D60">
        <w:t xml:space="preserve"> w szczególności art. 20 ust. 1, zgodnie z którym – do ksiąg rachunkowych okresu sprawozdawczego należy wprowadzić, w postaci zapisu, każde zdarzenie, które nastąpiło w tym okresie sprawozdawczym. </w:t>
      </w:r>
    </w:p>
    <w:p w14:paraId="6B0D8473" w14:textId="77777777" w:rsidR="00A12532" w:rsidRPr="00DD4D60" w:rsidRDefault="00A12532" w:rsidP="00A12532">
      <w:pPr>
        <w:numPr>
          <w:ilvl w:val="0"/>
          <w:numId w:val="6"/>
        </w:numPr>
        <w:spacing w:before="120" w:after="0" w:line="360" w:lineRule="auto"/>
        <w:jc w:val="both"/>
      </w:pPr>
      <w:r w:rsidRPr="00DD4D60">
        <w:t xml:space="preserve">W zasadach rachunkowości przyjęto ponadto, że faktury za zakup towarów i usług wystawione przez sprzedawcę w miesiącu grudniu obciążają koszty tego miesiąca nawet wówczas, gdy ich wpływ do księgowości nastąpi do 30 marca roku następnego. Powyższe uproszczenie naruszało art. 24 ust. 5 pkt 2 ustawy o rachunkowości, z którego wynika, że księgi rachunkowe uznaje się za prowadzone bieżąco, jeżeli zestawienia obrotów i sald kont księgi głównej są sporządzane przynajmniej za poszczególne okresy sprawozdawcze, nie rzadziej niż na koniec miesiąca, w terminie obowiązujących jednostkę sprawozdań finansowych i innych, sprawozdań, w tym deklaracji podatkowych oraz dokonanie rozliczeń finansowych; a za rok obrotowy – nie później niż do 85 dnia po dniu bilansowym. Przyjęta przez jednostkę ostateczna data wpływu faktur zaliczonych w koszty roku poprzedniego uniemożliwia sporządzenie w terminie zestawienia obrotów i sald kont księgi głównej za rok obrotowy, a tym samym prowadzenie ksiąg bieżąco. </w:t>
      </w:r>
    </w:p>
    <w:p w14:paraId="009F28F1" w14:textId="77777777" w:rsidR="00A12532" w:rsidRPr="00DD4D60" w:rsidRDefault="00A12532" w:rsidP="00A12532">
      <w:pPr>
        <w:numPr>
          <w:ilvl w:val="0"/>
          <w:numId w:val="6"/>
        </w:numPr>
        <w:spacing w:before="120" w:after="0" w:line="360" w:lineRule="auto"/>
        <w:jc w:val="both"/>
      </w:pPr>
      <w:r w:rsidRPr="00DD4D60">
        <w:t>W Instrukcji obiegu i kontroli dokumentów finansowo-księgowych</w:t>
      </w:r>
      <w:r>
        <w:t>, wprowadzonej zarządzeniem</w:t>
      </w:r>
      <w:r w:rsidRPr="00877B37">
        <w:t xml:space="preserve"> nr 12/2016 Dyrektora Pogotowia z dnia 19.10.2016 r.</w:t>
      </w:r>
      <w:r w:rsidRPr="00DD4D60">
        <w:t>, znajdował się zapis dotyczący zatwierdzania list płac przez Dyrektora Pogotowia oraz Głównego księgowego, co było niezgodne z obowiązującą przy wykonaniu budżetu zasadą rozdzielenia dysponowania środkami publicznymi od kasowego wykonania dyspozycji. Zgodnie z art. 53 ust.1 ustawy z dnia 27 sierpnia 2009 r. o finansach publicznych</w:t>
      </w:r>
      <w:r>
        <w:rPr>
          <w:rStyle w:val="Odwoanieprzypisudolnego"/>
        </w:rPr>
        <w:footnoteReference w:id="3"/>
      </w:r>
      <w:r w:rsidRPr="00DD4D60">
        <w:t xml:space="preserve"> za całość gospodarki finansowej odpowiada kierownik jednostki. Zatwierdzać do wypłaty może zatem kierownik jednostki lub wyraźnie do tego upoważniony inny </w:t>
      </w:r>
      <w:r w:rsidRPr="00DD4D60">
        <w:lastRenderedPageBreak/>
        <w:t xml:space="preserve">pracownik jednostki, przy czym nie może to być główny księgowy, gdyż do jego obowiązków należy, stosownie do art. 54 ust. 1 ustawy o finansach publicznych, wykonywanie dyspozycji kierownika jednostki, a nie dysponowanie środkami. </w:t>
      </w:r>
    </w:p>
    <w:p w14:paraId="74F24E16" w14:textId="77777777" w:rsidR="00A12532" w:rsidRPr="00DD4D60" w:rsidRDefault="00A12532" w:rsidP="00A12532">
      <w:pPr>
        <w:keepNext/>
        <w:spacing w:before="120" w:after="0" w:line="360" w:lineRule="auto"/>
        <w:jc w:val="both"/>
        <w:outlineLvl w:val="0"/>
        <w:rPr>
          <w:b/>
        </w:rPr>
      </w:pPr>
      <w:r w:rsidRPr="00DD4D60">
        <w:rPr>
          <w:b/>
        </w:rPr>
        <w:t>W zakresie prowadzenia ksiąg rachunkowych</w:t>
      </w:r>
    </w:p>
    <w:p w14:paraId="0EAA861A" w14:textId="77777777" w:rsidR="00A12532" w:rsidRPr="00DD4D60" w:rsidRDefault="00A12532" w:rsidP="00A12532">
      <w:pPr>
        <w:numPr>
          <w:ilvl w:val="0"/>
          <w:numId w:val="6"/>
        </w:numPr>
        <w:spacing w:before="120" w:after="0" w:line="360" w:lineRule="auto"/>
        <w:jc w:val="both"/>
      </w:pPr>
      <w:r w:rsidRPr="00DD4D60">
        <w:t xml:space="preserve">Ewidencję analityczną do konta 201 </w:t>
      </w:r>
      <w:r>
        <w:t>„</w:t>
      </w:r>
      <w:r w:rsidRPr="00233B2A">
        <w:t>Rozrachunki z odbiorcami i dostawcami</w:t>
      </w:r>
      <w:r>
        <w:t>”</w:t>
      </w:r>
      <w:r w:rsidRPr="00233B2A">
        <w:t xml:space="preserve"> </w:t>
      </w:r>
      <w:r w:rsidRPr="00DD4D60">
        <w:t>zaprowadzono według kontrahentów oraz podziałek klasyfikacji budżetowej, jednakże nie zaprowadzono analityki według należności i zo</w:t>
      </w:r>
      <w:r>
        <w:t>bowiązań. Ponieważ użytkowany w  </w:t>
      </w:r>
      <w:r w:rsidRPr="00DD4D60">
        <w:t>jednostce komputerowy program finansow</w:t>
      </w:r>
      <w:r>
        <w:t xml:space="preserve">o-księgowy </w:t>
      </w:r>
      <w:proofErr w:type="spellStart"/>
      <w:r w:rsidRPr="00DD4D60">
        <w:t>Vulcan</w:t>
      </w:r>
      <w:proofErr w:type="spellEnd"/>
      <w:r w:rsidRPr="00DD4D60">
        <w:t xml:space="preserve"> Księgowość </w:t>
      </w:r>
      <w:proofErr w:type="spellStart"/>
      <w:r w:rsidRPr="00DD4D60">
        <w:t>Optivum</w:t>
      </w:r>
      <w:proofErr w:type="spellEnd"/>
      <w:r w:rsidRPr="00DD4D60">
        <w:t xml:space="preserve"> </w:t>
      </w:r>
      <w:r>
        <w:t>nie obsługuje kont o </w:t>
      </w:r>
      <w:r w:rsidRPr="00DD4D60">
        <w:t>dwustronnych saldach, w przypadku wystąpienia na koncie danego kontrahenta równocześnie należności i zobowiązań, dokonuje on kompensacji (o</w:t>
      </w:r>
      <w:r>
        <w:t>dejmuje od </w:t>
      </w:r>
      <w:r w:rsidRPr="00DD4D60">
        <w:t>obrotów strony debetowej obroty strony kredytowej). By tego uniknąć, autor programu zale</w:t>
      </w:r>
      <w:r>
        <w:t>ca tworzenie osobnego konta dla należności i zobowiązań, gdyż w </w:t>
      </w:r>
      <w:r w:rsidRPr="00DD4D60">
        <w:t>przeciw</w:t>
      </w:r>
      <w:r>
        <w:t xml:space="preserve">nym wypadku księgi prowadzone w </w:t>
      </w:r>
      <w:r w:rsidRPr="00DD4D60">
        <w:t>systemie komputerowym nie dają realnych wyników na tem</w:t>
      </w:r>
      <w:r>
        <w:t>at stanu należności i </w:t>
      </w:r>
      <w:r w:rsidRPr="00DD4D60">
        <w:t>zobowiązań jednostki. Taka sytuacja miała miejs</w:t>
      </w:r>
      <w:r>
        <w:t>ce w kontrolowanej jednostce na </w:t>
      </w:r>
      <w:r w:rsidRPr="00DD4D60">
        <w:t>koniec 2019</w:t>
      </w:r>
      <w:r>
        <w:t xml:space="preserve"> r. – w zestawieniu obrotów i </w:t>
      </w:r>
      <w:r w:rsidRPr="00DD4D60">
        <w:t xml:space="preserve">sald konto 201 wykazywało saldo Ma równe 6 982,27 zł, będące wynikiem kompensacji, co zmusiło Głównego księgowego do ręcznego (poza programem księgowym) rozbicia </w:t>
      </w:r>
      <w:r>
        <w:t>tego salda na stan zobowiązań i </w:t>
      </w:r>
      <w:r w:rsidRPr="00DD4D60">
        <w:t xml:space="preserve">należności, w celu sporządzenia prawidłowych sprawozdań. Ponadto należność wynikającą z nadpłaty ujęto na koncie 201 po stronie </w:t>
      </w:r>
      <w:r>
        <w:t>Ma ze znakiem minus, zamiast po </w:t>
      </w:r>
      <w:r w:rsidRPr="00DD4D60">
        <w:t xml:space="preserve">stronie </w:t>
      </w:r>
      <w:proofErr w:type="spellStart"/>
      <w:r w:rsidRPr="00DD4D60">
        <w:t>Wn</w:t>
      </w:r>
      <w:proofErr w:type="spellEnd"/>
      <w:r w:rsidRPr="00DD4D60">
        <w:t>, co</w:t>
      </w:r>
      <w:r>
        <w:t xml:space="preserve"> było niezgodne z  rozporządzeniem</w:t>
      </w:r>
      <w:r w:rsidRPr="00DD4D60">
        <w:t xml:space="preserve">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p>
    <w:p w14:paraId="3EE745DF" w14:textId="77777777" w:rsidR="00A12532" w:rsidRPr="00DD4D60" w:rsidRDefault="00A12532" w:rsidP="00A12532">
      <w:pPr>
        <w:numPr>
          <w:ilvl w:val="0"/>
          <w:numId w:val="6"/>
        </w:numPr>
        <w:spacing w:before="120" w:after="0" w:line="360" w:lineRule="auto"/>
        <w:jc w:val="both"/>
      </w:pPr>
      <w:r w:rsidRPr="00DD4D60">
        <w:t xml:space="preserve">Ustalony w programie </w:t>
      </w:r>
      <w:proofErr w:type="spellStart"/>
      <w:r w:rsidRPr="00DD4D60">
        <w:t>Vulcan</w:t>
      </w:r>
      <w:proofErr w:type="spellEnd"/>
      <w:r w:rsidRPr="00DD4D60">
        <w:t xml:space="preserve"> Księgowość </w:t>
      </w:r>
      <w:proofErr w:type="spellStart"/>
      <w:r w:rsidRPr="00DD4D60">
        <w:t>Optivum</w:t>
      </w:r>
      <w:proofErr w:type="spellEnd"/>
      <w:r w:rsidRPr="00DD4D60">
        <w:t xml:space="preserve"> zakładowy plan kont był niezgodny z przyjętymi przez jednostkę zasadami rachunkowości w zakresie budowy i funkcjonowania kont, gdyż zawierał konta syntetyczne o symbolach 800-00001 – „Fundusz zasadniczy” i 800-00002 – „Nieodpłatnie otrzymane środki trwałe”, oznaczone znakami właściwymi dla kont analitycznych (szczegółowy opis w protokole kontroli s. 15, 35-36). Powyższe skutkowało nieprawidłowymi zestawieniami sprawozdawczymi obrotów i sald kont księgi głównej, w których saldo Ma konta syntetycznego 800 „Fundusz jednostki” na koniec roku 2019 wynosiło 0,00 zł, co było niezgodne z saldem </w:t>
      </w:r>
      <w:r w:rsidRPr="00DD4D60">
        <w:lastRenderedPageBreak/>
        <w:t xml:space="preserve">na tym koncie na </w:t>
      </w:r>
      <w:r>
        <w:t>wydruku zestawienia</w:t>
      </w:r>
      <w:r w:rsidRPr="00DD4D60">
        <w:t xml:space="preserve"> obrotów i sald kont ksiąg pomocniczych. Stosownie do</w:t>
      </w:r>
      <w:r>
        <w:t xml:space="preserve"> </w:t>
      </w:r>
      <w:r w:rsidRPr="00DD4D60">
        <w:t>art. 16 ust. 1 ustawy o rachunkowości konta ksiąg pomocniczych zawierają zapisy będące uszczegółowieniem i uzupełnieniem zapisów kont księgi głównej. Prowadzi się je w ujęciu systematycznym jako wyodrębniony system ksiąg, kartotek (zbiorów kont), komputerowych zbiorów</w:t>
      </w:r>
      <w:r>
        <w:t xml:space="preserve"> danych, uzgodniony z saldami i </w:t>
      </w:r>
      <w:r w:rsidRPr="00DD4D60">
        <w:t>zapisami na kontach księgi głównej.</w:t>
      </w:r>
    </w:p>
    <w:p w14:paraId="49705F37" w14:textId="77777777" w:rsidR="00A12532" w:rsidRPr="00DD4D60" w:rsidRDefault="00A12532" w:rsidP="00A12532">
      <w:pPr>
        <w:numPr>
          <w:ilvl w:val="0"/>
          <w:numId w:val="6"/>
        </w:numPr>
        <w:spacing w:before="120" w:after="0" w:line="360" w:lineRule="auto"/>
        <w:jc w:val="both"/>
      </w:pPr>
      <w:r w:rsidRPr="00DD4D60">
        <w:t xml:space="preserve">Zestawienie obrotów i sald księgi głównej za sierpień 2019 r. sporządzone było po terminie złożenia sprawozdania za ten okres, co świadczyło o niespełnieniu warunku bieżącego prowadzenia ksiąg rachunkowych wynikającego z art. 24 ust. 5 pkt 2 ustawy o rachunkowości. Mimo niespełnienia powyższego warunku, stwierdzono, że sprawozdanie budżetowe </w:t>
      </w:r>
      <w:r>
        <w:t xml:space="preserve">za ten okres </w:t>
      </w:r>
      <w:r w:rsidRPr="00DD4D60">
        <w:t>było sporządzone na podstawie danych wynikających z</w:t>
      </w:r>
      <w:r>
        <w:t xml:space="preserve"> </w:t>
      </w:r>
      <w:r w:rsidRPr="00DD4D60">
        <w:t>ksiąg rachunkowych</w:t>
      </w:r>
      <w:r>
        <w:t xml:space="preserve"> (zaksięgowanych dokumentów), a </w:t>
      </w:r>
      <w:r w:rsidRPr="00DD4D60">
        <w:t>przeprowadzona w trakcie kontroli analiza danych zawartych w sprawozdaniu budżetowym za sierpień 2019 r. wykazała zgodność z ewidencją księgową.</w:t>
      </w:r>
    </w:p>
    <w:p w14:paraId="7701ADB3" w14:textId="77777777" w:rsidR="00A12532" w:rsidRPr="00DD4D60" w:rsidRDefault="00A12532" w:rsidP="00A12532">
      <w:pPr>
        <w:numPr>
          <w:ilvl w:val="0"/>
          <w:numId w:val="6"/>
        </w:numPr>
        <w:spacing w:before="120" w:after="0" w:line="360" w:lineRule="auto"/>
        <w:ind w:hanging="397"/>
        <w:jc w:val="both"/>
      </w:pPr>
      <w:r w:rsidRPr="00DD4D60">
        <w:t>Ostatecznego zamknięcia ksiąg rachunkowych dokonano w dniu 8 kwietnia 2020 r., co stanowiło naruszenie terminu określonego w § 26 ust. 3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p>
    <w:p w14:paraId="16719B60" w14:textId="77777777" w:rsidR="00A12532" w:rsidRPr="00DD4D60" w:rsidRDefault="00A12532" w:rsidP="00A12532">
      <w:pPr>
        <w:numPr>
          <w:ilvl w:val="0"/>
          <w:numId w:val="6"/>
        </w:numPr>
        <w:spacing w:before="120" w:after="0" w:line="360" w:lineRule="auto"/>
        <w:ind w:hanging="397"/>
        <w:jc w:val="both"/>
        <w:rPr>
          <w:szCs w:val="24"/>
        </w:rPr>
      </w:pPr>
      <w:r w:rsidRPr="00DD4D60">
        <w:rPr>
          <w:szCs w:val="24"/>
        </w:rPr>
        <w:t>Kontrola wykazała powtarzające się błędy w zapisach księgowych, w szczególności:</w:t>
      </w:r>
    </w:p>
    <w:p w14:paraId="1F62625B" w14:textId="77777777" w:rsidR="00A12532" w:rsidRPr="00DD4D60" w:rsidRDefault="00A12532" w:rsidP="00A12532">
      <w:pPr>
        <w:numPr>
          <w:ilvl w:val="1"/>
          <w:numId w:val="6"/>
        </w:numPr>
        <w:spacing w:after="0" w:line="360" w:lineRule="auto"/>
        <w:ind w:left="851"/>
        <w:jc w:val="both"/>
        <w:rPr>
          <w:szCs w:val="24"/>
        </w:rPr>
      </w:pPr>
      <w:r w:rsidRPr="00DD4D60">
        <w:rPr>
          <w:szCs w:val="24"/>
        </w:rPr>
        <w:t xml:space="preserve">Zewnętrzne dowody księgowe (faktury, noty obciążeniowe), które wpłynęły do księgowości jednostki w tym samym dniu, księgowane były zbiorczo – jednym zapisem księgowym o treści: „zaksięgowano faktury” (jako kolejne dekrety tego samego zapisu), czym naruszono art. 20 ust. 1 ustawy o rachunkowości, zgodnie z którym do ksiąg rachunkowych okresu sprawozdawczego należy wprowadzić, w postaci zapisu, każde zdarzenie, które nastąpiło w tym okresie sprawozdawczym, a także art. 23 ust. 2 ustawy o rachunkowości, gdyż zapisy księgowe nie zawierały daty dowodów księgowych stanowiących podstawę zapisu, w przypadku, gdy różniły się </w:t>
      </w:r>
      <w:r>
        <w:rPr>
          <w:szCs w:val="24"/>
        </w:rPr>
        <w:t xml:space="preserve">one </w:t>
      </w:r>
      <w:r w:rsidRPr="00DD4D60">
        <w:rPr>
          <w:szCs w:val="24"/>
        </w:rPr>
        <w:t xml:space="preserve">od daty dokonania operacji. Konsekwencją powyższego sposobu ewidencji faktur było także oznaczanie poszczególnych dowodów księgowych w sposób istotnie utrudniający jednoznaczne powiązanie zapisów księgowych </w:t>
      </w:r>
      <w:r w:rsidRPr="00DD4D60">
        <w:rPr>
          <w:szCs w:val="24"/>
        </w:rPr>
        <w:lastRenderedPageBreak/>
        <w:t xml:space="preserve">z dowodami – kilka dokumentów miało naniesiony taki sam numer (w dodatku nie był to numer nadany w dzienniku księgowań, ale w buforze). Tym samym naruszono art. 14 ust. 2 ustawy o rachunkowości, </w:t>
      </w:r>
      <w:r>
        <w:rPr>
          <w:szCs w:val="24"/>
        </w:rPr>
        <w:t>dotyczący</w:t>
      </w:r>
      <w:r w:rsidRPr="00DD4D60">
        <w:rPr>
          <w:szCs w:val="24"/>
        </w:rPr>
        <w:t xml:space="preserve"> umożliwienia jednoznacznego powiązania zapisów księgowych ze sprawdzonymi i zatwierdzonymi dowodami. </w:t>
      </w:r>
    </w:p>
    <w:p w14:paraId="1C64048B" w14:textId="77777777" w:rsidR="00A12532" w:rsidRPr="00DD4D60" w:rsidRDefault="00A12532" w:rsidP="00A12532">
      <w:pPr>
        <w:numPr>
          <w:ilvl w:val="1"/>
          <w:numId w:val="6"/>
        </w:numPr>
        <w:spacing w:before="120" w:after="0" w:line="360" w:lineRule="auto"/>
        <w:ind w:left="851"/>
        <w:jc w:val="both"/>
        <w:rPr>
          <w:szCs w:val="24"/>
        </w:rPr>
      </w:pPr>
      <w:r>
        <w:t>Z</w:t>
      </w:r>
      <w:r w:rsidRPr="00DD4D60">
        <w:t>apisy księgowe dotyczące zapłaty zobowiąza</w:t>
      </w:r>
      <w:r>
        <w:t xml:space="preserve">ń dokonywane na </w:t>
      </w:r>
      <w:r w:rsidRPr="00DD4D60">
        <w:t>podstawie wyciągów bankowych nie spełniały wszystkich formalnych</w:t>
      </w:r>
      <w:r>
        <w:t xml:space="preserve"> wymogów, o których mowa w art. 23</w:t>
      </w:r>
      <w:r w:rsidRPr="00E57316">
        <w:t xml:space="preserve"> </w:t>
      </w:r>
      <w:r>
        <w:t>ust. 2, gdyż zawierały opis dekretów dotyczących poszczególnych przelewów o treści:</w:t>
      </w:r>
      <w:r w:rsidRPr="00DD4D60">
        <w:t xml:space="preserve"> „Faktura nr…”, zamiast</w:t>
      </w:r>
      <w:r>
        <w:t>, zgodnie z treścią ekonomiczną zdarzeń,</w:t>
      </w:r>
      <w:r w:rsidRPr="00DD4D60">
        <w:t xml:space="preserve"> „Zapłata faktury nr…”. W konsekwencji treść operacji dotyczącej zapłaty zobowiązania była dokładnie taka sama, jak treść operacji dotyczącej przypisu tego zobowiązania, co mogło utrudniać identyfikację operacji. Zgodnie z przytoczonym powyże</w:t>
      </w:r>
      <w:r>
        <w:t>j art. 23 ust. 2 pkt 3 ustawy o </w:t>
      </w:r>
      <w:r w:rsidRPr="00DD4D60">
        <w:t xml:space="preserve">rachunkowości, zapis księgowy powinien zawierać zrozumiały tekst, skrót lub kod opisu operacji, z tym że należy posiadać pisemne objaśnienia treści skrótów lub kodów. </w:t>
      </w:r>
    </w:p>
    <w:p w14:paraId="440F06E9" w14:textId="77777777" w:rsidR="00A12532" w:rsidRPr="00636137" w:rsidRDefault="00A12532" w:rsidP="00A12532">
      <w:pPr>
        <w:numPr>
          <w:ilvl w:val="1"/>
          <w:numId w:val="6"/>
        </w:numPr>
        <w:spacing w:before="120" w:after="0" w:line="360" w:lineRule="auto"/>
        <w:ind w:left="851"/>
        <w:jc w:val="both"/>
        <w:rPr>
          <w:szCs w:val="24"/>
        </w:rPr>
      </w:pPr>
      <w:r w:rsidRPr="00636137">
        <w:rPr>
          <w:szCs w:val="24"/>
        </w:rPr>
        <w:t>Z zapisów w księgach rachunkowych jednostki wynikało, że podstawą zapisów dotyczących naliczenia wynagrodzeń brutto pracowników Pogotowia</w:t>
      </w:r>
      <w:r>
        <w:rPr>
          <w:szCs w:val="24"/>
        </w:rPr>
        <w:t xml:space="preserve"> i </w:t>
      </w:r>
      <w:r w:rsidRPr="00636137">
        <w:rPr>
          <w:szCs w:val="24"/>
        </w:rPr>
        <w:t xml:space="preserve">przeksięgowania potrąceń obciążających pracowników (zapisy na kontach zespołu 2 i 4), a – w jednym przypadku – również zapisów dotyczących operacji kasowych (zapisy na koncie 101), były wyciągi bankowe. Zgodnie z art. 20 ust. 2 </w:t>
      </w:r>
      <w:r>
        <w:rPr>
          <w:szCs w:val="24"/>
        </w:rPr>
        <w:t>oraz</w:t>
      </w:r>
      <w:r w:rsidRPr="00636137">
        <w:rPr>
          <w:szCs w:val="24"/>
        </w:rPr>
        <w:t xml:space="preserve"> </w:t>
      </w:r>
      <w:r>
        <w:rPr>
          <w:szCs w:val="24"/>
        </w:rPr>
        <w:t>art</w:t>
      </w:r>
      <w:r w:rsidRPr="00636137">
        <w:rPr>
          <w:szCs w:val="24"/>
        </w:rPr>
        <w:t>. 23 ust. 2</w:t>
      </w:r>
      <w:r>
        <w:rPr>
          <w:szCs w:val="24"/>
        </w:rPr>
        <w:t xml:space="preserve"> pkt 2</w:t>
      </w:r>
      <w:r w:rsidRPr="00636137">
        <w:rPr>
          <w:szCs w:val="24"/>
        </w:rPr>
        <w:t xml:space="preserve"> ustawy o rachunkowości, podstawą zapisów w księgach rachunkowych są dowody księgowe stwierdzające dokonanie operacji gospodarczej, zwane dalej "dowodami źródłowymi", których określenie i numer identyfikacyjny powinny być wskazane w treści tych zapisów. Takim dowodem źródłowym dokumentującym  naliczenie wynagrodzeń pracowników placówki jest lista płac, a dowodem źródłowym dokumentującym operacje gotówkowe – raport kasowy. Ponadto</w:t>
      </w:r>
      <w:r>
        <w:rPr>
          <w:szCs w:val="24"/>
        </w:rPr>
        <w:t xml:space="preserve"> kontrola wykazała</w:t>
      </w:r>
      <w:r w:rsidRPr="00636137">
        <w:rPr>
          <w:szCs w:val="24"/>
        </w:rPr>
        <w:t>,</w:t>
      </w:r>
      <w:r>
        <w:rPr>
          <w:szCs w:val="24"/>
        </w:rPr>
        <w:t xml:space="preserve"> że</w:t>
      </w:r>
      <w:r w:rsidRPr="00636137">
        <w:rPr>
          <w:szCs w:val="24"/>
        </w:rPr>
        <w:t xml:space="preserve"> ten sam numer zapisu księgowego (z bufora księgowań) nanoszony był na wyciąg bankowy, a także na listę płac</w:t>
      </w:r>
      <w:r>
        <w:rPr>
          <w:szCs w:val="24"/>
        </w:rPr>
        <w:t xml:space="preserve"> i raport kasowy, co </w:t>
      </w:r>
      <w:r w:rsidRPr="00636137">
        <w:rPr>
          <w:szCs w:val="24"/>
        </w:rPr>
        <w:t xml:space="preserve">utrudniało jednoznaczne powiązanie zapisów księgowych z dowodami księgowymi, co było niezgodne art. 14 ust. 2 ustawy o rachunkowości. </w:t>
      </w:r>
    </w:p>
    <w:p w14:paraId="0F88FE40" w14:textId="77777777" w:rsidR="00A12532" w:rsidRPr="00DD4D60" w:rsidRDefault="00A12532" w:rsidP="00A12532">
      <w:pPr>
        <w:numPr>
          <w:ilvl w:val="1"/>
          <w:numId w:val="6"/>
        </w:numPr>
        <w:spacing w:before="120" w:after="0" w:line="360" w:lineRule="auto"/>
        <w:ind w:left="851"/>
        <w:jc w:val="both"/>
        <w:rPr>
          <w:szCs w:val="24"/>
        </w:rPr>
      </w:pPr>
      <w:r w:rsidRPr="00DD4D60">
        <w:rPr>
          <w:szCs w:val="24"/>
        </w:rPr>
        <w:t xml:space="preserve">W przypadku zapisów technicznych stosowanych dla zachowania czystości obrotów na koncie 130 </w:t>
      </w:r>
      <w:r>
        <w:rPr>
          <w:szCs w:val="24"/>
        </w:rPr>
        <w:t>„</w:t>
      </w:r>
      <w:r w:rsidRPr="00233B2A">
        <w:rPr>
          <w:szCs w:val="24"/>
        </w:rPr>
        <w:t>Rachunek bieżący jednostki</w:t>
      </w:r>
      <w:r>
        <w:rPr>
          <w:szCs w:val="24"/>
        </w:rPr>
        <w:t>”</w:t>
      </w:r>
      <w:r w:rsidRPr="00233B2A">
        <w:rPr>
          <w:szCs w:val="24"/>
        </w:rPr>
        <w:t xml:space="preserve"> </w:t>
      </w:r>
      <w:r w:rsidRPr="00DD4D60">
        <w:rPr>
          <w:szCs w:val="24"/>
        </w:rPr>
        <w:t xml:space="preserve">sporządzane były polecenia księgowania (PK). Pomimo tego, w treści zapisu księgowego, jako dokument źródłowy wskazywano wyciąg bankowy, a nie polecenie księgowania. Powyższym </w:t>
      </w:r>
      <w:r w:rsidRPr="00DD4D60">
        <w:rPr>
          <w:szCs w:val="24"/>
        </w:rPr>
        <w:lastRenderedPageBreak/>
        <w:t>naruszono przepisy art. 20 ust. 2 i art. 23 ust. 2 us</w:t>
      </w:r>
      <w:r>
        <w:rPr>
          <w:szCs w:val="24"/>
        </w:rPr>
        <w:t>tawy o rachunkowości, zgodnie z </w:t>
      </w:r>
      <w:r w:rsidRPr="00DD4D60">
        <w:rPr>
          <w:szCs w:val="24"/>
        </w:rPr>
        <w:t>którymi, podstawą zapisów w księgach rachunkowych są dowody księgowe stwierdzające dokonanie operacji gospodarczej, zwane dalej "dowodami źródłowymi", których określenie i numer identyfikacyjny powinny być wska</w:t>
      </w:r>
      <w:r>
        <w:rPr>
          <w:szCs w:val="24"/>
        </w:rPr>
        <w:t>zane w </w:t>
      </w:r>
      <w:r w:rsidRPr="00DD4D60">
        <w:rPr>
          <w:szCs w:val="24"/>
        </w:rPr>
        <w:t>treści tych zapisów, a także przepisy</w:t>
      </w:r>
      <w:r>
        <w:rPr>
          <w:szCs w:val="24"/>
        </w:rPr>
        <w:t xml:space="preserve"> określone w załączniku nr 3 do </w:t>
      </w:r>
      <w:r w:rsidRPr="00DD4D60">
        <w:rPr>
          <w:szCs w:val="24"/>
        </w:rPr>
        <w:t>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zgodnie z którym zapisy na koncie 130 są dokonywane na podstawie dokumentów bankowych, jednakże w celu zachowania czystości obrotów dopuszcza się stosowanie innych niż dokument</w:t>
      </w:r>
      <w:r>
        <w:rPr>
          <w:szCs w:val="24"/>
        </w:rPr>
        <w:t>y bankowe dowodów księgowych, a </w:t>
      </w:r>
      <w:r w:rsidRPr="00DD4D60">
        <w:rPr>
          <w:szCs w:val="24"/>
        </w:rPr>
        <w:t xml:space="preserve">tym samym wszelkie zapisy, które nie wynikają z wyciągów bankowych, powinny być dokonywane na podstawie innych dokumentów (np. PK). </w:t>
      </w:r>
    </w:p>
    <w:p w14:paraId="158E9C6B" w14:textId="77777777" w:rsidR="00A12532" w:rsidRPr="00DD4D60" w:rsidRDefault="00A12532" w:rsidP="00A12532">
      <w:pPr>
        <w:numPr>
          <w:ilvl w:val="1"/>
          <w:numId w:val="6"/>
        </w:numPr>
        <w:spacing w:before="120" w:after="0" w:line="360" w:lineRule="auto"/>
        <w:ind w:left="851"/>
        <w:jc w:val="both"/>
        <w:rPr>
          <w:szCs w:val="24"/>
        </w:rPr>
      </w:pPr>
      <w:r>
        <w:rPr>
          <w:szCs w:val="24"/>
        </w:rPr>
        <w:t>Stwierdzono przypadki, w których z</w:t>
      </w:r>
      <w:r w:rsidRPr="00636137">
        <w:rPr>
          <w:szCs w:val="24"/>
        </w:rPr>
        <w:t xml:space="preserve">apisy </w:t>
      </w:r>
      <w:r>
        <w:rPr>
          <w:szCs w:val="24"/>
        </w:rPr>
        <w:t>na koncie 130</w:t>
      </w:r>
      <w:r w:rsidRPr="00636137">
        <w:rPr>
          <w:szCs w:val="24"/>
        </w:rPr>
        <w:t xml:space="preserve"> nie spełniały wszystkich wymogów formalnych, o których mowa w art. 23 </w:t>
      </w:r>
      <w:r>
        <w:rPr>
          <w:szCs w:val="24"/>
        </w:rPr>
        <w:t>ustawy o rachunkowości, m.in</w:t>
      </w:r>
      <w:r w:rsidRPr="00DD4D60">
        <w:rPr>
          <w:szCs w:val="24"/>
        </w:rPr>
        <w:t>. </w:t>
      </w:r>
      <w:r>
        <w:rPr>
          <w:szCs w:val="24"/>
        </w:rPr>
        <w:t xml:space="preserve">brak wskazania rodzaju dokumentu i numeru wyciągu bankowego (zamiast tego wpisywano np. </w:t>
      </w:r>
      <w:r w:rsidRPr="00DD4D60">
        <w:rPr>
          <w:szCs w:val="24"/>
        </w:rPr>
        <w:t>„Podjęto gotówkę czekiem”, „Przelew środków z Urzędu Miasta”)</w:t>
      </w:r>
      <w:r>
        <w:rPr>
          <w:szCs w:val="24"/>
        </w:rPr>
        <w:t>, a także przypadki pomyłek w numerach wyciągów bankowych, co stanowiło naruszenie</w:t>
      </w:r>
      <w:r w:rsidRPr="00DD4D60">
        <w:rPr>
          <w:szCs w:val="24"/>
        </w:rPr>
        <w:t xml:space="preserve"> art. 23 ust. 2 pkt 2 ustawy o rachunkowości, zgodnie z którym zapis księgowy powinien zawierać m.in. określenie rodzaju i numer identyfikacyjny dowodu księgowego stanowiącego podstawę zapisu. </w:t>
      </w:r>
    </w:p>
    <w:p w14:paraId="1B136D12" w14:textId="77777777" w:rsidR="00A12532" w:rsidRPr="00DD4D60" w:rsidRDefault="00A12532" w:rsidP="00A12532">
      <w:pPr>
        <w:numPr>
          <w:ilvl w:val="0"/>
          <w:numId w:val="6"/>
        </w:numPr>
        <w:spacing w:before="120" w:after="0" w:line="360" w:lineRule="auto"/>
        <w:ind w:hanging="397"/>
        <w:jc w:val="both"/>
        <w:rPr>
          <w:szCs w:val="24"/>
        </w:rPr>
      </w:pPr>
      <w:r w:rsidRPr="00DD4D60">
        <w:rPr>
          <w:szCs w:val="24"/>
        </w:rPr>
        <w:t xml:space="preserve">Na dokumentach źródłowych (wyciągach, fakturach, PK itd.) stawiano pieczęć dekretującą, na którą nanoszony był numer dokumentu księgowego nadany w programie przed zaksięgowaniem (w tzw. „buforze”) oraz uproszczona dekretacja wskazująca konta syntetyczne, na których ujęto operacje – pod pieczęcią nie było podpisu osoby odpowiedzialnej. Do dowodów dołączane były wydruki zatytułowane „dokument księgowy” z programu </w:t>
      </w:r>
      <w:proofErr w:type="spellStart"/>
      <w:r w:rsidRPr="00DD4D60">
        <w:rPr>
          <w:szCs w:val="24"/>
        </w:rPr>
        <w:t>Vulcan</w:t>
      </w:r>
      <w:proofErr w:type="spellEnd"/>
      <w:r w:rsidRPr="00DD4D60">
        <w:rPr>
          <w:szCs w:val="24"/>
        </w:rPr>
        <w:t xml:space="preserve"> Księgowość </w:t>
      </w:r>
      <w:proofErr w:type="spellStart"/>
      <w:r w:rsidRPr="00DD4D60">
        <w:rPr>
          <w:szCs w:val="24"/>
        </w:rPr>
        <w:t>Optivum</w:t>
      </w:r>
      <w:proofErr w:type="spellEnd"/>
      <w:r w:rsidRPr="00DD4D60">
        <w:rPr>
          <w:szCs w:val="24"/>
        </w:rPr>
        <w:t xml:space="preserve">, pełniące rolę dekretacji szczegółowej, sporządzone przed zaksięgowaniem, podpisywane przez Głównego księgowego i Dyrektora, zawierające numer z bufora oraz sposób ujęcia operacji na kontach analitycznych. Taki sposób dekretowania stanowił wynikające z art. 21 ust. 1a </w:t>
      </w:r>
      <w:r>
        <w:rPr>
          <w:szCs w:val="24"/>
        </w:rPr>
        <w:t xml:space="preserve">pkt 2 </w:t>
      </w:r>
      <w:r w:rsidRPr="00DD4D60">
        <w:rPr>
          <w:szCs w:val="24"/>
        </w:rPr>
        <w:t xml:space="preserve">ustawy o rachunkowości odstępstwo od wymogów formalnych dowodów </w:t>
      </w:r>
      <w:r w:rsidRPr="00DD4D60">
        <w:rPr>
          <w:szCs w:val="24"/>
        </w:rPr>
        <w:lastRenderedPageBreak/>
        <w:t>księgowych</w:t>
      </w:r>
      <w:r>
        <w:rPr>
          <w:szCs w:val="24"/>
        </w:rPr>
        <w:t>,</w:t>
      </w:r>
      <w:r w:rsidRPr="00DD4D60">
        <w:rPr>
          <w:szCs w:val="24"/>
        </w:rPr>
        <w:t xml:space="preserve"> określonych w art. 21 ust. 1 pkt 6</w:t>
      </w:r>
      <w:r>
        <w:rPr>
          <w:szCs w:val="24"/>
        </w:rPr>
        <w:t xml:space="preserve"> tej ustawy</w:t>
      </w:r>
      <w:r w:rsidRPr="00DD4D60">
        <w:rPr>
          <w:szCs w:val="24"/>
        </w:rPr>
        <w:t xml:space="preserve"> i powinien zostać opisany w obowiązującej w jednostce polityce rachunkowości. Kontrola wykazała, że zasady rachunkowości nie uwzględniały ww. uproszczenia. </w:t>
      </w:r>
    </w:p>
    <w:p w14:paraId="534C07DB" w14:textId="77777777" w:rsidR="00A12532" w:rsidRPr="00DD4D60" w:rsidRDefault="00A12532" w:rsidP="00A12532">
      <w:pPr>
        <w:numPr>
          <w:ilvl w:val="0"/>
          <w:numId w:val="6"/>
        </w:numPr>
        <w:spacing w:before="120" w:after="0" w:line="360" w:lineRule="auto"/>
        <w:jc w:val="both"/>
        <w:rPr>
          <w:szCs w:val="24"/>
        </w:rPr>
      </w:pPr>
      <w:r w:rsidRPr="00DD4D60">
        <w:rPr>
          <w:szCs w:val="24"/>
        </w:rPr>
        <w:t xml:space="preserve">Na źródłowych dowodach księgowych naniesione były numery, które program nadaje wprowadzanym dokumentom roboczym w buforze księgowań tj. jeszcze przed zaksięgowaniem dokumentu. Numer roboczy, nadany w buforze, jest numerem pomocniczym, nadanym przed przeniesieniem zapisu do dziennika i do tego momentu może zostać zmieniony (np. w przypadku usunięcia zapisu księgowego w buforze, można użyć „zwolnionego” numeru dla kolejno wprowadzonego dokumentu), nie jest więc właściwym numerem w świetle art. 14 ust. 2 ustawy o rachunkowości, zgodnie z którym zapisy w dzienniku muszą być kolejno numerowane, zaś sposób dokonywania zapisów w dzienniku powinien umożliwiać ich jednoznaczne powiązanie ze sprawdzonymi i zatwierdzonymi dowodami księgowymi. Numery z bufora były również stosowane w treści zapisów korygujących, w celu wskazania zapisu korygowanego, co nie miało uzasadnienia, gdyż korygowany zapis miał już nadany numer w dzienniku. </w:t>
      </w:r>
    </w:p>
    <w:p w14:paraId="26D63EDE" w14:textId="77777777" w:rsidR="00A12532" w:rsidRPr="00DD4D60" w:rsidRDefault="00A12532" w:rsidP="00A12532">
      <w:pPr>
        <w:keepNext/>
        <w:spacing w:before="120" w:after="0" w:line="360" w:lineRule="auto"/>
        <w:jc w:val="both"/>
        <w:outlineLvl w:val="0"/>
        <w:rPr>
          <w:b/>
        </w:rPr>
      </w:pPr>
      <w:r w:rsidRPr="00DD4D60">
        <w:rPr>
          <w:b/>
        </w:rPr>
        <w:t>W zakresie sporządzania dokumentów księgowych</w:t>
      </w:r>
    </w:p>
    <w:p w14:paraId="04368A1E" w14:textId="77777777" w:rsidR="00A12532" w:rsidRPr="00DD4D60" w:rsidRDefault="00A12532" w:rsidP="00A12532">
      <w:pPr>
        <w:numPr>
          <w:ilvl w:val="0"/>
          <w:numId w:val="6"/>
        </w:numPr>
        <w:spacing w:before="120" w:after="0" w:line="360" w:lineRule="auto"/>
        <w:jc w:val="both"/>
      </w:pPr>
      <w:r w:rsidRPr="00DD4D60">
        <w:t>Stwierdzono nieprawidłowości dotyczące stosowania wewnętrznych dokumentów – polecenia księgowania, a mianowicie:</w:t>
      </w:r>
    </w:p>
    <w:p w14:paraId="3B5D4E9B" w14:textId="77777777" w:rsidR="00A12532" w:rsidRPr="00DD4D60" w:rsidRDefault="00A12532" w:rsidP="00A12532">
      <w:pPr>
        <w:numPr>
          <w:ilvl w:val="0"/>
          <w:numId w:val="5"/>
        </w:numPr>
        <w:spacing w:after="0" w:line="360" w:lineRule="auto"/>
        <w:ind w:left="851"/>
        <w:jc w:val="both"/>
      </w:pPr>
      <w:r w:rsidRPr="00DD4D60">
        <w:t>polecenia księgowania nie posiadały numerów identyfikacyjnych, co było niezgodne z wymogami formalnymi dotyczącymi dowodów księgowych, wynikającymi z art. 21 ust. 1 pkt 1 ustawy o rachunkowości, zgodnie z którym dowód księgowy powinien zawierać co najmniej określenie rodzaju dowodu i jego numeru identyfikacyjnego,</w:t>
      </w:r>
    </w:p>
    <w:p w14:paraId="059D6282" w14:textId="77777777" w:rsidR="00A12532" w:rsidRDefault="00A12532" w:rsidP="00A12532">
      <w:pPr>
        <w:pStyle w:val="Trepisma"/>
        <w:numPr>
          <w:ilvl w:val="0"/>
          <w:numId w:val="5"/>
        </w:numPr>
        <w:spacing w:after="0" w:line="360" w:lineRule="auto"/>
        <w:ind w:left="851"/>
        <w:contextualSpacing w:val="0"/>
      </w:pPr>
      <w:r>
        <w:t xml:space="preserve">przy naliczeniu i wypłacie wynagrodzeń pracowników Pogotowia stosowano </w:t>
      </w:r>
      <w:r w:rsidRPr="0084051B">
        <w:t xml:space="preserve">wewnętrzny dokument księgowy </w:t>
      </w:r>
      <w:r>
        <w:t xml:space="preserve">– polecenie księgowania, mimo iż istniały źródłowe dokumenty księgowe </w:t>
      </w:r>
      <w:r w:rsidRPr="00437BDD">
        <w:t>stwierdzające dokonanie operacji gospodarczej</w:t>
      </w:r>
      <w:r>
        <w:t xml:space="preserve"> (listy płac, wyciągi bankowe), co było sprzeczne z art. 20 ust. 2 ustawy z dnia 29 </w:t>
      </w:r>
      <w:r w:rsidRPr="00FF65FF">
        <w:t xml:space="preserve">września 1994 r. </w:t>
      </w:r>
      <w:r>
        <w:t>o rachunkowości.</w:t>
      </w:r>
    </w:p>
    <w:p w14:paraId="01D8D2AC" w14:textId="77777777" w:rsidR="00A12532" w:rsidRPr="00DD4D60" w:rsidRDefault="00A12532" w:rsidP="00A12532">
      <w:pPr>
        <w:numPr>
          <w:ilvl w:val="0"/>
          <w:numId w:val="6"/>
        </w:numPr>
        <w:spacing w:before="120" w:after="0" w:line="360" w:lineRule="auto"/>
        <w:jc w:val="both"/>
      </w:pPr>
      <w:r w:rsidRPr="00DD4D60">
        <w:t xml:space="preserve">Podpisy na listach płac nie wskazywały jednoznacznie, kto dokonał zatwierdzenia dokumentu do wypłaty – Dyrektor, czy Dyrektor wraz z Głównym księgowym, gdyż oba podpisy znajdowały się obok siebie, bez stosownych formuł. Podpisy na dokumentach księgowych powinny wyraźnie rozdzielać kompetencje Dyrektora dotyczące </w:t>
      </w:r>
      <w:r w:rsidRPr="00DD4D60">
        <w:lastRenderedPageBreak/>
        <w:t>dysponowania środkami pieniężnymi (określone w art</w:t>
      </w:r>
      <w:r>
        <w:t xml:space="preserve">. 68 ust. 1 pkt 5 ustawy z </w:t>
      </w:r>
      <w:r w:rsidRPr="00DD4D60">
        <w:t>dnia 14</w:t>
      </w:r>
      <w:r>
        <w:t> </w:t>
      </w:r>
      <w:r w:rsidRPr="00DD4D60">
        <w:t>grudnia 2016 r. Prawo oświatowe</w:t>
      </w:r>
      <w:r>
        <w:rPr>
          <w:vertAlign w:val="superscript"/>
        </w:rPr>
        <w:footnoteReference w:id="4"/>
      </w:r>
      <w:r w:rsidRPr="00DD4D60">
        <w:t>, a także wynikające z odpowiedzialności kierownika za całość gospodarki finansowej jednostki, stosownie do art. 53 ust. 1 ustawy o finansach publicznych) oraz kom</w:t>
      </w:r>
      <w:r>
        <w:t>petencje Głównego księgowego do </w:t>
      </w:r>
      <w:r w:rsidRPr="00DD4D60">
        <w:t xml:space="preserve">dokonywania wstępnej kontroli dokumentów księgowych, o której mowa w art. 54 ust. 1 </w:t>
      </w:r>
      <w:r>
        <w:t xml:space="preserve">pkt 3 </w:t>
      </w:r>
      <w:r w:rsidRPr="00DD4D60">
        <w:t xml:space="preserve">i </w:t>
      </w:r>
      <w:r>
        <w:t xml:space="preserve">ust. </w:t>
      </w:r>
      <w:r w:rsidRPr="00DD4D60">
        <w:t>3 ustawy o finansach publicznych.</w:t>
      </w:r>
    </w:p>
    <w:p w14:paraId="7616C1DC" w14:textId="77777777" w:rsidR="00A12532" w:rsidRPr="00DD4D60" w:rsidRDefault="00A12532" w:rsidP="00A12532">
      <w:pPr>
        <w:keepNext/>
        <w:spacing w:before="120" w:after="0" w:line="360" w:lineRule="auto"/>
        <w:jc w:val="both"/>
        <w:outlineLvl w:val="0"/>
        <w:rPr>
          <w:b/>
        </w:rPr>
      </w:pPr>
      <w:r w:rsidRPr="00DD4D60">
        <w:rPr>
          <w:b/>
        </w:rPr>
        <w:t xml:space="preserve">W zakresie zaciągania zobowiązań i dokonywania wydatków </w:t>
      </w:r>
    </w:p>
    <w:p w14:paraId="621809A9" w14:textId="77777777" w:rsidR="00A12532" w:rsidRPr="00DD4D60" w:rsidRDefault="00A12532" w:rsidP="00A12532">
      <w:pPr>
        <w:numPr>
          <w:ilvl w:val="0"/>
          <w:numId w:val="6"/>
        </w:numPr>
        <w:spacing w:before="120" w:after="100" w:afterAutospacing="1" w:line="360" w:lineRule="auto"/>
        <w:jc w:val="both"/>
      </w:pPr>
      <w:r w:rsidRPr="00DD4D60">
        <w:t>Stwierdzono brak kontrasygnaty Głównego księgowego na umowach zlecenia. Zgodnie z treścią pełnomocnictwa udzielonego Dyrektorowi Pogotowia, czynności powodujące powstanie zobowiązań finansowych wymagają kontrasygnaty Głównego księgowego. Kontrasygnata Głównego księgowego na zawieranej przez jednostkę umowie cywilnoprawnej potwierdza, że w planie finansowym zabezpieczono środki na wynagrodzenie dla zleceniobiorcy. Brak podpisu głównego księgowego na umowie świadczy o braku przeprowadzenia wstępnej kontroli w zakresie zgodności operacji gospodarczych i finansowych z planem finansowym, do przeprowadzenia której zobowiązuje przepis zawarty w art. 54 ust. 1 pkt 3 ustawy o finansach publicznych.</w:t>
      </w:r>
    </w:p>
    <w:p w14:paraId="4F378929" w14:textId="77777777" w:rsidR="00A12532" w:rsidRPr="00DD4D60" w:rsidRDefault="00A12532" w:rsidP="00A12532">
      <w:pPr>
        <w:numPr>
          <w:ilvl w:val="0"/>
          <w:numId w:val="6"/>
        </w:numPr>
        <w:spacing w:before="120" w:after="100" w:afterAutospacing="1" w:line="360" w:lineRule="auto"/>
        <w:jc w:val="both"/>
      </w:pPr>
      <w:r w:rsidRPr="00DD4D60">
        <w:t>Nie przestrzegano ustalonych w jednostce wewnętrznych procedur dotyczących dokumentowania udzielania zamówień publicznych o wartości d</w:t>
      </w:r>
      <w:r>
        <w:t>o 5 000 zł,</w:t>
      </w:r>
      <w:r>
        <w:rPr>
          <w:rStyle w:val="Odwoanieprzypisudolnego"/>
        </w:rPr>
        <w:footnoteReference w:id="5"/>
      </w:r>
      <w:r>
        <w:t xml:space="preserve"> </w:t>
      </w:r>
      <w:r w:rsidRPr="00DD4D60">
        <w:t>tj. nie sporządzono wniosków o wszczęcie postępowania oraz protokołów z wyboru oferty, a także notatki służbowej</w:t>
      </w:r>
      <w:r>
        <w:t>,</w:t>
      </w:r>
      <w:r w:rsidRPr="00DD4D60">
        <w:t xml:space="preserve"> </w:t>
      </w:r>
      <w:r>
        <w:t>wymaganej w przypadku konieczności usunięcia powstałej awarii</w:t>
      </w:r>
      <w:r w:rsidRPr="00DD4D60">
        <w:t>.</w:t>
      </w:r>
    </w:p>
    <w:p w14:paraId="2095D1E6" w14:textId="77777777" w:rsidR="00A12532" w:rsidRPr="00DD4D60" w:rsidRDefault="00A12532" w:rsidP="00A12532">
      <w:pPr>
        <w:numPr>
          <w:ilvl w:val="0"/>
          <w:numId w:val="6"/>
        </w:numPr>
        <w:spacing w:before="120" w:after="100" w:afterAutospacing="1" w:line="360" w:lineRule="auto"/>
        <w:jc w:val="both"/>
      </w:pPr>
      <w:r w:rsidRPr="00DD4D60">
        <w:t>Kontrola wykazała trzy przypadki uregulowania zobowiązań po wymaganym terminie – jeden dotyczący zobowiązań publicznych i dwa dotyczące zobowiązań wobec kontrahentów</w:t>
      </w:r>
      <w:r>
        <w:t>,</w:t>
      </w:r>
      <w:r w:rsidRPr="00DD4D60">
        <w:t xml:space="preserve"> czym naruszono art. 44 ust. 3 pkt 3 ustawy o finansach publicznych, zgodnie z którym wydatki ze środków publicznych powinny być dokonywane w wysokości i terminach wynikających z wcześniej zaciągniętych zobowiązań. </w:t>
      </w:r>
    </w:p>
    <w:p w14:paraId="2EA21C87" w14:textId="77777777" w:rsidR="00A12532" w:rsidRPr="00DD4D60" w:rsidRDefault="00A12532" w:rsidP="00A12532">
      <w:pPr>
        <w:keepNext/>
        <w:spacing w:before="120" w:after="0" w:line="360" w:lineRule="auto"/>
        <w:jc w:val="both"/>
        <w:outlineLvl w:val="0"/>
        <w:rPr>
          <w:b/>
        </w:rPr>
      </w:pPr>
      <w:r w:rsidRPr="00DD4D60">
        <w:rPr>
          <w:b/>
        </w:rPr>
        <w:lastRenderedPageBreak/>
        <w:t>W zakresie dokumentowania przeprowadzenia inwentaryzacji</w:t>
      </w:r>
    </w:p>
    <w:p w14:paraId="1C2D34D2" w14:textId="77777777" w:rsidR="00A12532" w:rsidRPr="00DD4D60" w:rsidRDefault="00A12532" w:rsidP="00A12532">
      <w:pPr>
        <w:numPr>
          <w:ilvl w:val="0"/>
          <w:numId w:val="6"/>
        </w:numPr>
        <w:spacing w:before="120" w:after="0" w:line="360" w:lineRule="auto"/>
        <w:jc w:val="both"/>
      </w:pPr>
      <w:r w:rsidRPr="00DD4D60">
        <w:t>Protokół z przeprowadzonej na ostatni dzień roku obrotowego 2019 inwentaryzacji kasy i druków ścisłego zarachowania nie zawierał wszystkich informacji niezbędnych do zapewnienia zgodności prowadzonej ewidencji druków ścisłego zarachowania z ustalonym stanem faktycznym. W szczególności w protokole brakowało informacji dotyczącej stwierdzonego (i wynikającego z ewidencji druków) stanu czeków środków budżetowych, a także informacji, czy wymienione numery pozostałych druków ścisłego zarachowania (czeków gotówkowych dotyczących ZFŚS</w:t>
      </w:r>
      <w:r>
        <w:t xml:space="preserve"> i</w:t>
      </w:r>
      <w:r w:rsidRPr="00DD4D60">
        <w:t xml:space="preserve"> kwitariuszy przychodowych K-103, błędnie oznaczonych w protokole jako „KP”) odnosiły się do ostatnio wykorzystanych druków, czy do niewykorzystanych druków, znajdujących się w kasie, czy też do druków niepobranych, znajdujących się na stanie w ewidencji druków ścisłego zarachowania.</w:t>
      </w:r>
      <w:r>
        <w:rPr>
          <w:vertAlign w:val="superscript"/>
        </w:rPr>
        <w:footnoteReference w:id="6"/>
      </w:r>
      <w:r w:rsidRPr="00DD4D60">
        <w:t xml:space="preserve"> Niekompletne dane w dokumentacji dotyczącej inwentaryzacji kasy i druków ścisłego zarachowania wskazują na naruszenie art. 27 ust. 1 ustawy o rachunkowości, zgodnie z którym przeprowadzenie i wyniki inwentaryzacji należy odpowiednio udokumentować i powiązać z zapisami ksiąg rachunkowych. </w:t>
      </w:r>
    </w:p>
    <w:p w14:paraId="0D502499" w14:textId="77777777" w:rsidR="00A12532" w:rsidRPr="00DD4D60" w:rsidRDefault="00A12532" w:rsidP="00A12532">
      <w:pPr>
        <w:spacing w:before="120" w:after="0" w:line="360" w:lineRule="auto"/>
        <w:ind w:left="454"/>
        <w:jc w:val="both"/>
      </w:pPr>
      <w:r w:rsidRPr="00DD4D60">
        <w:t>Kontrola druków ścisłego zarachowania polega na stwierdzeniu zgodności druków będących na stanie rzeczywistym ze stanem wykazanym w ewidencji druków. Prawidłowo i rzetelnie przeprowadzona i udokumentowana inwentaryzacja jest istotnym elementem kontroli zarządczej, której celem jest, między innymi, ochrona zasobów. Zapewnienie funkcjonowania adekwatnej, skutecznej i efektywnej kontroli zarządczej jest obowiązkiem kierownika jednostki, wynikającym z art. 69 ust. 1 pkt 3 ustawy z dnia 27 sierpnia 2009 r. o finansach publicznych.</w:t>
      </w:r>
    </w:p>
    <w:p w14:paraId="5698BFEC" w14:textId="77777777" w:rsidR="00A12532" w:rsidRPr="00DD4D60" w:rsidRDefault="00A12532" w:rsidP="00A12532">
      <w:pPr>
        <w:numPr>
          <w:ilvl w:val="0"/>
          <w:numId w:val="6"/>
        </w:numPr>
        <w:spacing w:before="120" w:after="0" w:line="360" w:lineRule="auto"/>
        <w:jc w:val="both"/>
      </w:pPr>
      <w:r w:rsidRPr="00DD4D60">
        <w:t>Sprawozdanie z weryfikacji sald wg stanu na dzień 31 grudnia 2019 r., na którym zespół weryfikacyjny potwierdził podpisami realność i prawidłowość sald, nie zawierało informacji o dokumentach, które były podstawą weryfikowania sald, a także daty przeprowadzenia weryfikacji i sporządzenia sprawozdania. Stosownie do art. 26 ust. 1 pkt 3 ustawy o rachunkowości, inwentaryzację m.in. należności i zobowiązań wobec osób nieprowadzących ksiąg rachunkowych,</w:t>
      </w:r>
      <w:r>
        <w:t xml:space="preserve"> z tytułów publicznoprawnych, a </w:t>
      </w:r>
      <w:r w:rsidRPr="00DD4D60">
        <w:t xml:space="preserve">także aktywów i pasywów, jeżeli przeprowadzenie ich spisu z natury lub uzgodnienie z przyczyn uzasadnionych nie było możliwe – przeprowadza się drogą porównania danych ksiąg rachunkowych z odpowiednimi dokumentami i weryfikacji wartości tych </w:t>
      </w:r>
      <w:r w:rsidRPr="00DD4D60">
        <w:lastRenderedPageBreak/>
        <w:t xml:space="preserve">składników. Zgodnie z art. 27 ust. 1 ustawy o rachunkowości, przeprowadzenie i wyniki inwentaryzacji należy odpowiednio udokumentować i powiązać z zapisami ksiąg rachunkowych. W celu właściwego i rzetelnego udokumentowania przeprowadzenia inwentaryzacji drogą weryfikacji niezbędne jest wskazanie dokumentów, z którymi porównano dane z ksiąg rachunkowych. </w:t>
      </w:r>
    </w:p>
    <w:p w14:paraId="3D079F5F" w14:textId="77777777" w:rsidR="00A12532" w:rsidRPr="00DD4D60" w:rsidRDefault="00A12532" w:rsidP="00A12532">
      <w:pPr>
        <w:spacing w:before="120" w:after="0" w:line="360" w:lineRule="auto"/>
        <w:ind w:left="454"/>
        <w:jc w:val="both"/>
      </w:pPr>
      <w:r w:rsidRPr="00DD4D60">
        <w:t>Ponadto w sprawozdaniu występowały błędy polegające m.in. na wpisaniu w miejscu przeznaczonym na saldo konta – wysokości obrotów na tym koncie</w:t>
      </w:r>
      <w:r>
        <w:rPr>
          <w:vertAlign w:val="superscript"/>
        </w:rPr>
        <w:footnoteReference w:id="7"/>
      </w:r>
      <w:r w:rsidRPr="00DD4D60">
        <w:t xml:space="preserve">. W przypadku konta 201 – weryfikacji poddano </w:t>
      </w:r>
      <w:r w:rsidRPr="00244D50">
        <w:rPr>
          <w:i/>
        </w:rPr>
        <w:t>de facto</w:t>
      </w:r>
      <w:r w:rsidRPr="00DD4D60">
        <w:t xml:space="preserve"> saldo niewynikające z ksiąg rachunkowych, gdyż saldo na wydruku zestawienia obrotów i sald tego konta, dołączonego do sprawozdania wynosiło 6 982,27 zł, natomiast kwoty należności i zobowiązań, które wynosiły odpowiednio 191,60 zł i 7 173,87 zł – zostały dopisane ręcznie na wydruku zestawienia obrotów i sald. Brak rozbicia salda na wydruku z programu księgowego na należności i zobowiązania wynikał z faktu nieprowadzenia ewidencji analitycznej konta 201 dla należności i zobowiązań (nieprawidłowość opisana w punkcie 8 niniejszego wystąpienia). Dodatkowo, omyłkowo zamieniono w sprawozdaniu miejscami kwotę 6 982,27 zł i 7 173,87 zł. </w:t>
      </w:r>
    </w:p>
    <w:p w14:paraId="6879C2CC" w14:textId="77777777" w:rsidR="00A12532" w:rsidRPr="00DD4D60" w:rsidRDefault="00A12532" w:rsidP="00A12532">
      <w:pPr>
        <w:spacing w:before="120" w:after="0" w:line="360" w:lineRule="auto"/>
        <w:ind w:left="454"/>
        <w:jc w:val="both"/>
      </w:pPr>
      <w:r w:rsidRPr="00DD4D60">
        <w:t xml:space="preserve">Prawidłowe i rzetelne przeprowadzenie, a następnie udokumentowanie inwentaryzacji jest elementem kontroli zarządczej, której zapewnienie jest obowiązkiem kierownika jednostki, wynikającym z art. 69 ust. 1 pkt 3 ustawy z dnia 27 sierpnia 2009 r. o finansach publicznych. Inwentaryzacja drogą weryfikacji sald służy ujawnieniu i wyeliminowaniu ewentualnych różnic między stanem rzeczywistym a stanem wykazanym w księgach rachunkowych, które należy wyjaśnić i rozliczyć w księgach rachunkowych tego roku obrotowego, na który przypadał termin inwentaryzacji. </w:t>
      </w:r>
    </w:p>
    <w:p w14:paraId="2232EA4C" w14:textId="77777777" w:rsidR="00A12532" w:rsidRDefault="00A12532" w:rsidP="00A12532">
      <w:pPr>
        <w:keepNext/>
        <w:keepLines/>
        <w:spacing w:before="120" w:after="0" w:line="360" w:lineRule="auto"/>
        <w:jc w:val="both"/>
        <w:outlineLvl w:val="1"/>
      </w:pPr>
    </w:p>
    <w:p w14:paraId="16532573" w14:textId="77777777" w:rsidR="00A12532" w:rsidRPr="00DD4D60" w:rsidRDefault="00A12532" w:rsidP="00A12532">
      <w:pPr>
        <w:keepNext/>
        <w:keepLines/>
        <w:spacing w:before="120" w:after="0" w:line="360" w:lineRule="auto"/>
        <w:jc w:val="both"/>
        <w:outlineLvl w:val="1"/>
      </w:pPr>
      <w:r w:rsidRPr="00DD4D60">
        <w:t>W celu wyeliminowania stwierdzonych nieprawidłowości i uchybień oraz uniknięcia powstania ich w przyszłości polecam:</w:t>
      </w:r>
    </w:p>
    <w:p w14:paraId="0ED07D54" w14:textId="77777777" w:rsidR="00A12532" w:rsidRPr="00DD4D60" w:rsidRDefault="00A12532" w:rsidP="00A12532">
      <w:pPr>
        <w:numPr>
          <w:ilvl w:val="0"/>
          <w:numId w:val="8"/>
        </w:numPr>
        <w:spacing w:before="120" w:after="0" w:line="360" w:lineRule="auto"/>
        <w:jc w:val="both"/>
      </w:pPr>
      <w:r w:rsidRPr="00DD4D60">
        <w:t>Dokonać przeglądu i aktualizacji zasad (polityki) rachunkowości pod kątem wskazanych podstaw prawnych i przytoczonych treści aktów prawnych. Przestrzegać art. 10 ust. 2 ustawy z dnia 29 września 1994 r. o rachunkowości</w:t>
      </w:r>
      <w:r>
        <w:rPr>
          <w:rFonts w:cs="Arial"/>
          <w:szCs w:val="24"/>
          <w:vertAlign w:val="superscript"/>
        </w:rPr>
        <w:footnoteReference w:id="8"/>
      </w:r>
      <w:r w:rsidRPr="00DD4D60">
        <w:t>.</w:t>
      </w:r>
    </w:p>
    <w:p w14:paraId="6F64BD1B" w14:textId="77777777" w:rsidR="00A12532" w:rsidRDefault="00A12532" w:rsidP="00A12532">
      <w:pPr>
        <w:numPr>
          <w:ilvl w:val="0"/>
          <w:numId w:val="8"/>
        </w:numPr>
        <w:spacing w:before="120" w:after="0" w:line="360" w:lineRule="auto"/>
        <w:jc w:val="both"/>
      </w:pPr>
      <w:r w:rsidRPr="00DD4D60">
        <w:lastRenderedPageBreak/>
        <w:t xml:space="preserve">Dostosować zapisy polityki rachunkowości do specyfiki i potrzeb jednostki, w szczególności w zakresie wymogów </w:t>
      </w:r>
      <w:r>
        <w:t xml:space="preserve">określonych w </w:t>
      </w:r>
      <w:r w:rsidRPr="00DD4D60">
        <w:t>art. 10 ust. 1 pkt. 3 ustawy o rachunkowości</w:t>
      </w:r>
      <w:r>
        <w:t xml:space="preserve"> dotyczących</w:t>
      </w:r>
      <w:r w:rsidRPr="00453F0D">
        <w:t xml:space="preserve"> sposobu prowadzenia ksiąg rachunkowych</w:t>
      </w:r>
      <w:r>
        <w:t xml:space="preserve">, w tym zakładowego planu kont i wykazu ksiąg rachunkowych, a także wymagań dotyczących </w:t>
      </w:r>
      <w:r w:rsidRPr="00DD4D60">
        <w:t xml:space="preserve"> </w:t>
      </w:r>
      <w:r>
        <w:t>prowadzenia ksiąg przy użyciu komputera.</w:t>
      </w:r>
    </w:p>
    <w:p w14:paraId="06B79A7D" w14:textId="77777777" w:rsidR="00A12532" w:rsidRPr="007F7267" w:rsidRDefault="00A12532" w:rsidP="00A12532">
      <w:pPr>
        <w:pStyle w:val="Akapitzlist"/>
        <w:numPr>
          <w:ilvl w:val="0"/>
          <w:numId w:val="8"/>
        </w:numPr>
        <w:spacing w:before="120" w:after="0" w:line="360" w:lineRule="auto"/>
        <w:jc w:val="both"/>
        <w:rPr>
          <w:rFonts w:ascii="Arial" w:hAnsi="Arial"/>
          <w:sz w:val="24"/>
        </w:rPr>
      </w:pPr>
      <w:r w:rsidRPr="007F7267">
        <w:rPr>
          <w:rFonts w:ascii="Arial" w:hAnsi="Arial"/>
          <w:sz w:val="24"/>
        </w:rPr>
        <w:t>Ustalić w zasadach rachunkowości datę ostatecznego zamknię</w:t>
      </w:r>
      <w:r>
        <w:rPr>
          <w:rFonts w:ascii="Arial" w:hAnsi="Arial"/>
          <w:sz w:val="24"/>
        </w:rPr>
        <w:t>cia ksiąg rachunkowych</w:t>
      </w:r>
      <w:r w:rsidRPr="007F7267">
        <w:rPr>
          <w:rFonts w:ascii="Arial" w:hAnsi="Arial"/>
          <w:sz w:val="24"/>
        </w:rPr>
        <w:t xml:space="preserve"> zgodną z rozporządzeniem Ministra Rozwoju i Finansów z dnia 13</w:t>
      </w:r>
      <w:r>
        <w:rPr>
          <w:rFonts w:ascii="Arial" w:hAnsi="Arial"/>
          <w:sz w:val="24"/>
        </w:rPr>
        <w:t> </w:t>
      </w:r>
      <w:r w:rsidRPr="007F7267">
        <w:rPr>
          <w:rFonts w:ascii="Arial" w:hAnsi="Arial"/>
          <w:sz w:val="24"/>
        </w:rPr>
        <w:t>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Pr>
          <w:rStyle w:val="Odwoanieprzypisudolnego"/>
          <w:rFonts w:ascii="Arial" w:hAnsi="Arial"/>
          <w:sz w:val="24"/>
        </w:rPr>
        <w:footnoteReference w:id="9"/>
      </w:r>
      <w:r w:rsidRPr="007F7267">
        <w:rPr>
          <w:rFonts w:ascii="Arial" w:hAnsi="Arial"/>
          <w:sz w:val="24"/>
        </w:rPr>
        <w:t xml:space="preserve">  </w:t>
      </w:r>
    </w:p>
    <w:p w14:paraId="4CAE739E" w14:textId="77777777" w:rsidR="00A12532" w:rsidRPr="00DD4D60" w:rsidRDefault="00A12532" w:rsidP="00A12532">
      <w:pPr>
        <w:numPr>
          <w:ilvl w:val="0"/>
          <w:numId w:val="8"/>
        </w:numPr>
        <w:spacing w:before="120" w:after="0" w:line="360" w:lineRule="auto"/>
        <w:jc w:val="both"/>
      </w:pPr>
      <w:r>
        <w:t xml:space="preserve">Dokonać weryfikacji przyjętych w polityce rachunkowości zapisów dotyczących ewidencji faktur </w:t>
      </w:r>
      <w:r w:rsidRPr="00DC57C1">
        <w:t>za zakup towarów i usług</w:t>
      </w:r>
      <w:r>
        <w:t>,</w:t>
      </w:r>
      <w:r w:rsidRPr="00DC57C1">
        <w:t xml:space="preserve"> </w:t>
      </w:r>
      <w:r w:rsidRPr="00DD4D60">
        <w:t xml:space="preserve">mając na uwadze zasady ogólne, wynikające z art. 4 i 6 ustawy o rachunkowości, </w:t>
      </w:r>
      <w:r>
        <w:t xml:space="preserve">w celu zapewnienia ewidencjonowania zdarzeń gospodarczych </w:t>
      </w:r>
      <w:r w:rsidRPr="0097074A">
        <w:rPr>
          <w:rFonts w:cs="Arial"/>
          <w:szCs w:val="24"/>
        </w:rPr>
        <w:t>w okresach sprawozdawczych, w których</w:t>
      </w:r>
      <w:r>
        <w:rPr>
          <w:rFonts w:cs="Arial"/>
          <w:szCs w:val="24"/>
        </w:rPr>
        <w:t xml:space="preserve"> nastąpiły,</w:t>
      </w:r>
      <w:r w:rsidRPr="0097074A">
        <w:rPr>
          <w:rFonts w:cs="Arial"/>
          <w:szCs w:val="24"/>
        </w:rPr>
        <w:t xml:space="preserve"> </w:t>
      </w:r>
      <w:r>
        <w:rPr>
          <w:rFonts w:cs="Arial"/>
          <w:szCs w:val="24"/>
        </w:rPr>
        <w:t>stosownie do wymagań</w:t>
      </w:r>
      <w:r w:rsidRPr="00DD4D60">
        <w:t xml:space="preserve"> art. 20 ust. 1 </w:t>
      </w:r>
      <w:r>
        <w:t>wyżej przywołanej</w:t>
      </w:r>
      <w:r w:rsidRPr="00DD4D60">
        <w:t xml:space="preserve"> ustawy</w:t>
      </w:r>
      <w:r>
        <w:t>.</w:t>
      </w:r>
    </w:p>
    <w:p w14:paraId="5B9655CE" w14:textId="77777777" w:rsidR="00A12532" w:rsidRDefault="00A12532" w:rsidP="00A12532">
      <w:pPr>
        <w:numPr>
          <w:ilvl w:val="0"/>
          <w:numId w:val="8"/>
        </w:numPr>
        <w:spacing w:before="120" w:after="0" w:line="360" w:lineRule="auto"/>
        <w:jc w:val="both"/>
      </w:pPr>
      <w:r w:rsidRPr="00DD4D60">
        <w:t>Ustalić datę ostatecznego wpływu faktur wystawionych przez sprzedawcę w grudniu roku poprzedniego, które będą ujęte w koszty grudnia, w sposób zapewniający sporządzenie w terminie zestawienia obrotów i sald kont księgi głównej za rok obrotowy, a tym samym prowadzenie ksiąg bieżąco, stosownie do art. 24 ust. 5 pkt 2 ustawy o rachunkowości.</w:t>
      </w:r>
    </w:p>
    <w:p w14:paraId="31669EC5" w14:textId="77777777" w:rsidR="00A12532" w:rsidRPr="00DD4D60" w:rsidRDefault="00A12532" w:rsidP="00A12532">
      <w:pPr>
        <w:numPr>
          <w:ilvl w:val="0"/>
          <w:numId w:val="8"/>
        </w:numPr>
        <w:spacing w:before="120" w:after="0" w:line="360" w:lineRule="auto"/>
        <w:jc w:val="both"/>
      </w:pPr>
      <w:r w:rsidRPr="00DD4D60">
        <w:t>Prowadzić księgi pomocnicze konta 201 „Rozrachunki z odbiorcami i dostawcami", w celu zapewnienia możliwość ustalenia stanu należności i zobowiązań.</w:t>
      </w:r>
    </w:p>
    <w:p w14:paraId="48E5CABA" w14:textId="77777777" w:rsidR="00A12532" w:rsidRPr="00DD4D60" w:rsidRDefault="00A12532" w:rsidP="00A12532">
      <w:pPr>
        <w:numPr>
          <w:ilvl w:val="0"/>
          <w:numId w:val="8"/>
        </w:numPr>
        <w:spacing w:before="120" w:after="0" w:line="360" w:lineRule="auto"/>
        <w:jc w:val="both"/>
      </w:pPr>
      <w:r w:rsidRPr="00DD4D60">
        <w:t xml:space="preserve">Zaprowadzić </w:t>
      </w:r>
      <w:r>
        <w:t>analitykę</w:t>
      </w:r>
      <w:r w:rsidRPr="00DD4D60">
        <w:t xml:space="preserve"> </w:t>
      </w:r>
      <w:r>
        <w:t>konta 225 dotyczącą</w:t>
      </w:r>
      <w:r w:rsidRPr="00DD4D60">
        <w:t xml:space="preserve"> r</w:t>
      </w:r>
      <w:r>
        <w:t>ozliczenia podatku VAT określoną w </w:t>
      </w:r>
      <w:r w:rsidRPr="00DD4D60">
        <w:t>zarządzeniu nr 378 Prezydenta Miasta Piotrkowa Trybunalskiego z dnia 15.12.2020 r. w sprawie zasad centralizacji rozliczeń podatku od towarów i usług VAT obowiązujących w Mieście Piotrków Trybunalski.</w:t>
      </w:r>
    </w:p>
    <w:p w14:paraId="329F0F46" w14:textId="77777777" w:rsidR="00A12532" w:rsidRPr="00DD4D60" w:rsidRDefault="00A12532" w:rsidP="00A12532">
      <w:pPr>
        <w:numPr>
          <w:ilvl w:val="0"/>
          <w:numId w:val="8"/>
        </w:numPr>
        <w:spacing w:before="120" w:after="0" w:line="360" w:lineRule="auto"/>
        <w:jc w:val="both"/>
      </w:pPr>
      <w:r w:rsidRPr="00DD4D60">
        <w:t>Wzmocnić ko</w:t>
      </w:r>
      <w:r>
        <w:t>ntrolę nad prawidłowością ustale</w:t>
      </w:r>
      <w:r w:rsidRPr="00DD4D60">
        <w:t>nia w</w:t>
      </w:r>
      <w:r>
        <w:t xml:space="preserve"> programie finansowo-księgowym z</w:t>
      </w:r>
      <w:r w:rsidRPr="00DD4D60">
        <w:t xml:space="preserve">akładowego planu kont m.in. poprzez drukowanie zakładowego planu kont z programu każdorazowo podczas </w:t>
      </w:r>
      <w:r w:rsidRPr="00DD4D60">
        <w:rPr>
          <w:color w:val="222222"/>
          <w:shd w:val="clear" w:color="auto" w:fill="FFFFFF"/>
        </w:rPr>
        <w:t xml:space="preserve">aktualizowania zasad rachunkowości w zakresie zakładowego </w:t>
      </w:r>
      <w:r w:rsidRPr="00DD4D60">
        <w:rPr>
          <w:color w:val="222222"/>
          <w:shd w:val="clear" w:color="auto" w:fill="FFFFFF"/>
        </w:rPr>
        <w:lastRenderedPageBreak/>
        <w:t>planu kont, a następnie sprawdzanie jego poprawności pod kątem zgodności z ustaloną strukturą kont księgi głównej i ksiąg pomocniczych. Wydrukowany z programu zakładowy plan kont, po zatwierdzeniu przez kierownika, włączać do wprowadzonych zasad rachunkowości, jako ich integralną część (np. w formie załącznika).</w:t>
      </w:r>
    </w:p>
    <w:p w14:paraId="1B19B1C5" w14:textId="77777777" w:rsidR="00A12532" w:rsidRPr="00DD4D60" w:rsidRDefault="00A12532" w:rsidP="00A12532">
      <w:pPr>
        <w:numPr>
          <w:ilvl w:val="0"/>
          <w:numId w:val="8"/>
        </w:numPr>
        <w:spacing w:before="120" w:after="0" w:line="360" w:lineRule="auto"/>
        <w:jc w:val="both"/>
      </w:pPr>
      <w:r w:rsidRPr="00DD4D60">
        <w:t>Zapewnić przestrzeganie zasad księgowania na koncie 800 „Fundusz jednostki”. Dokonać w programie finansowo-księgowym usunięcia błędnie wprowadzonego konta syntetycznego 800-00002, a po zamknięciu roku 2021 konta 800-00001. Przesłać</w:t>
      </w:r>
      <w:r>
        <w:t xml:space="preserve"> do Biura Kontroli UM wydruki z </w:t>
      </w:r>
      <w:r w:rsidRPr="00DD4D60">
        <w:t xml:space="preserve">programu potwierdzające wprowadzenie zmian (podpisany przez kierownika jednostki wydruk Zakładowego planu kont i Zestawienia obrotów i sald kont księgi głównej). </w:t>
      </w:r>
    </w:p>
    <w:p w14:paraId="43C59507" w14:textId="77777777" w:rsidR="00A12532" w:rsidRPr="00DD4D60" w:rsidRDefault="00A12532" w:rsidP="00A12532">
      <w:pPr>
        <w:numPr>
          <w:ilvl w:val="0"/>
          <w:numId w:val="8"/>
        </w:numPr>
        <w:spacing w:before="120" w:after="0" w:line="360" w:lineRule="auto"/>
        <w:jc w:val="both"/>
      </w:pPr>
      <w:r w:rsidRPr="00DD4D60">
        <w:t xml:space="preserve">Dokonać aktualizacji Instrukcji obiegu i kontroli dokumentów. Zapewnić jednoznaczne rozdzielenie kluczowych kompetencji kierownika jednostki i głównego księgowego w zakresie zatwierdzania list płac do wypłaty oraz dokumentowania przeprowadzenia wstępnej kontroli głównego księgowego. </w:t>
      </w:r>
    </w:p>
    <w:p w14:paraId="0DF30BCE" w14:textId="77777777" w:rsidR="00A12532" w:rsidRPr="00DD4D60" w:rsidRDefault="00A12532" w:rsidP="00A12532">
      <w:pPr>
        <w:numPr>
          <w:ilvl w:val="0"/>
          <w:numId w:val="8"/>
        </w:numPr>
        <w:spacing w:before="120" w:after="0" w:line="360" w:lineRule="auto"/>
        <w:jc w:val="both"/>
      </w:pPr>
      <w:r w:rsidRPr="00DD4D60">
        <w:t>Sporządzać zestawienie obrotów i sald w terminie zgodnym z terminem złożenia sprawozdania, w celu spełnienia warunku bieżącego prowadzenia ksiąg rachunkowych, stosownie do art. 24 ust. 5 pkt 2 ustawy o rachunkowości.</w:t>
      </w:r>
    </w:p>
    <w:p w14:paraId="4018A4A5" w14:textId="77777777" w:rsidR="00A12532" w:rsidRPr="00DD4D60" w:rsidRDefault="00A12532" w:rsidP="00A12532">
      <w:pPr>
        <w:numPr>
          <w:ilvl w:val="0"/>
          <w:numId w:val="8"/>
        </w:numPr>
        <w:spacing w:before="120" w:after="0" w:line="360" w:lineRule="auto"/>
        <w:jc w:val="both"/>
      </w:pPr>
      <w:r w:rsidRPr="00DD4D60">
        <w:t xml:space="preserve">Dokonywać ostatecznego zamknięcia ksiąg rachunkowych w terminie zgodnym z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w ciągu 15 dni od dnia zatwierdzenia łącznego sprawozdania finansowego za rok obrotowy. </w:t>
      </w:r>
    </w:p>
    <w:p w14:paraId="0C711A5F" w14:textId="77777777" w:rsidR="00A12532" w:rsidRDefault="00A12532" w:rsidP="00A12532">
      <w:pPr>
        <w:numPr>
          <w:ilvl w:val="0"/>
          <w:numId w:val="8"/>
        </w:numPr>
        <w:spacing w:before="120" w:after="0" w:line="360" w:lineRule="auto"/>
        <w:jc w:val="both"/>
      </w:pPr>
      <w:r w:rsidRPr="00DD4D60">
        <w:t>Przestrzegać art. 20 ust. 1 ustawy o rachunkowości, zgodnie z którym do ksiąg rachunkowych okresu sprawozdawczego należy wprowadzić, w postaci zapisu, każde zdarzenie, które nastąpi</w:t>
      </w:r>
      <w:r>
        <w:t>ło w tym okresie sprawozdawczym.</w:t>
      </w:r>
      <w:r w:rsidRPr="00DD4D60">
        <w:t xml:space="preserve"> </w:t>
      </w:r>
    </w:p>
    <w:p w14:paraId="6A0D6C7A" w14:textId="77777777" w:rsidR="00A12532" w:rsidRDefault="00A12532" w:rsidP="00A12532">
      <w:pPr>
        <w:numPr>
          <w:ilvl w:val="0"/>
          <w:numId w:val="8"/>
        </w:numPr>
        <w:spacing w:before="120" w:after="0" w:line="360" w:lineRule="auto"/>
        <w:jc w:val="both"/>
      </w:pPr>
      <w:r>
        <w:t xml:space="preserve">Zapewnić dokonywanie zapisów księgowych spełniających wymagania formalne określone w </w:t>
      </w:r>
      <w:r w:rsidRPr="00DD4D60">
        <w:t xml:space="preserve">art. 23 ust. 2 </w:t>
      </w:r>
      <w:r>
        <w:t xml:space="preserve">pkt 2 i 3 ustawy z dnia 29 września 1994 r. o rachunkowości, mając na uwadze </w:t>
      </w:r>
      <w:r w:rsidRPr="00036B78">
        <w:t xml:space="preserve">art. 20 ust. 2 </w:t>
      </w:r>
      <w:r>
        <w:t>tej ustawy.</w:t>
      </w:r>
      <w:r w:rsidRPr="00730858">
        <w:t xml:space="preserve"> </w:t>
      </w:r>
    </w:p>
    <w:p w14:paraId="2007667B" w14:textId="77777777" w:rsidR="00A12532" w:rsidRPr="00DD4D60" w:rsidRDefault="00A12532" w:rsidP="00A12532">
      <w:pPr>
        <w:numPr>
          <w:ilvl w:val="0"/>
          <w:numId w:val="8"/>
        </w:numPr>
        <w:spacing w:before="120" w:after="0" w:line="360" w:lineRule="auto"/>
        <w:jc w:val="both"/>
      </w:pPr>
      <w:r w:rsidRPr="00DD4D60">
        <w:t>Przestrzegać art. 14 ust. 2 ustawy o rachunkowości</w:t>
      </w:r>
      <w:r>
        <w:t xml:space="preserve">, który wskazuje na konieczność </w:t>
      </w:r>
      <w:r w:rsidRPr="00496587">
        <w:t xml:space="preserve">dokonywania zapisów w dzienniku </w:t>
      </w:r>
      <w:r>
        <w:t>w s</w:t>
      </w:r>
      <w:r w:rsidRPr="00496587">
        <w:t>posób umożliwia</w:t>
      </w:r>
      <w:r>
        <w:t>jący</w:t>
      </w:r>
      <w:r w:rsidRPr="00496587">
        <w:t xml:space="preserve"> ich jednoznaczne </w:t>
      </w:r>
      <w:r w:rsidRPr="00496587">
        <w:lastRenderedPageBreak/>
        <w:t>powiązanie ze sprawdzonymi i zatwierdzonymi dowodami księgowymi.</w:t>
      </w:r>
      <w:r w:rsidRPr="00DD4D60">
        <w:t xml:space="preserve"> </w:t>
      </w:r>
      <w:r>
        <w:t>Do oznaczania dowodów księgowych stosować właściwe numery nadane zaksięgowanym dokumentom.</w:t>
      </w:r>
    </w:p>
    <w:p w14:paraId="56F32E36" w14:textId="77777777" w:rsidR="00A12532" w:rsidRPr="00DD4D60" w:rsidRDefault="00A12532" w:rsidP="00A12532">
      <w:pPr>
        <w:numPr>
          <w:ilvl w:val="0"/>
          <w:numId w:val="8"/>
        </w:numPr>
        <w:spacing w:before="120" w:after="0" w:line="360" w:lineRule="auto"/>
        <w:jc w:val="both"/>
      </w:pPr>
      <w:r w:rsidRPr="00DD4D60">
        <w:t xml:space="preserve">Na koncie 130 dokonywać zapisów na podstawie dokumentów bankowych, a w przypadku operacji, które nie wynikają z tych dokumentów, dokonywać zapisów na podstawie polecenia księgowania, stosownie do zasad prowadzenia ewidencji na koncie 130 określonych w rozporządzeniu Ministra Rozwoju i Finansów z dnia 13 września 2017 r. </w:t>
      </w:r>
    </w:p>
    <w:p w14:paraId="4A40A9EE" w14:textId="77777777" w:rsidR="00A12532" w:rsidRDefault="00A12532" w:rsidP="00A12532">
      <w:pPr>
        <w:numPr>
          <w:ilvl w:val="0"/>
          <w:numId w:val="8"/>
        </w:numPr>
        <w:spacing w:before="120" w:after="0" w:line="360" w:lineRule="auto"/>
        <w:jc w:val="both"/>
      </w:pPr>
      <w:r w:rsidRPr="00DD4D60">
        <w:t xml:space="preserve">Przestrzegać formalnych wymogów, o których mowa w art. 21 ust. 1 pkt 1 ustawy o rachunkowości, w zakresie określenia numeru identyfikacyjnego dowodu księgowego stanowiącego podstawę zapisu w księgach. </w:t>
      </w:r>
    </w:p>
    <w:p w14:paraId="2DC3E0E9" w14:textId="77777777" w:rsidR="00A12532" w:rsidRDefault="00A12532" w:rsidP="00A12532">
      <w:pPr>
        <w:numPr>
          <w:ilvl w:val="0"/>
          <w:numId w:val="8"/>
        </w:numPr>
        <w:spacing w:before="120" w:after="0" w:line="360" w:lineRule="auto"/>
        <w:jc w:val="both"/>
      </w:pPr>
      <w:r>
        <w:t>Zapewnić dekretację dowodów księgowych stosownie do wymogów określonych w art. 21 ust. 1 pkt 6 ustawy o rachunkowości. Uwzględnić w polityce rachunkowości stosowany w jednostce sposób dekretowania dowodów księgowych, stosownie do art. 21 ust. 1a pkt 2 tej ustawy.</w:t>
      </w:r>
    </w:p>
    <w:p w14:paraId="4E980F21" w14:textId="77777777" w:rsidR="00A12532" w:rsidRPr="003E3E06" w:rsidRDefault="00A12532" w:rsidP="00A12532">
      <w:pPr>
        <w:numPr>
          <w:ilvl w:val="0"/>
          <w:numId w:val="8"/>
        </w:numPr>
        <w:spacing w:before="120" w:after="0" w:line="360" w:lineRule="auto"/>
        <w:jc w:val="both"/>
      </w:pPr>
      <w:r>
        <w:t>D</w:t>
      </w:r>
      <w:r w:rsidRPr="003E3E06">
        <w:t xml:space="preserve">okonać </w:t>
      </w:r>
      <w:r>
        <w:t xml:space="preserve">zmian ustawienia </w:t>
      </w:r>
      <w:r w:rsidRPr="003E3E06">
        <w:t xml:space="preserve">parametrów programu Płace </w:t>
      </w:r>
      <w:proofErr w:type="spellStart"/>
      <w:r w:rsidRPr="003E3E06">
        <w:t>Optivum</w:t>
      </w:r>
      <w:proofErr w:type="spellEnd"/>
      <w:r>
        <w:t xml:space="preserve"> w </w:t>
      </w:r>
      <w:r w:rsidRPr="003E3E06">
        <w:t xml:space="preserve">zakresie podpisów na listach płac składanych przez Dyrektora i Głównego księgowego, w celu zapewnienia zatwierdzania dowodów księgowych do wypłaty przez kierownika jednostki lub osobę przez niego upoważnioną oraz zgodności </w:t>
      </w:r>
      <w:r>
        <w:t>z przepisami</w:t>
      </w:r>
      <w:r w:rsidRPr="003E3E06">
        <w:t xml:space="preserve"> określonym</w:t>
      </w:r>
      <w:r>
        <w:t>i</w:t>
      </w:r>
      <w:r w:rsidRPr="003E3E06">
        <w:t xml:space="preserve"> w art. 53 ust.</w:t>
      </w:r>
      <w:r>
        <w:t xml:space="preserve"> </w:t>
      </w:r>
      <w:r w:rsidRPr="003E3E06">
        <w:t xml:space="preserve">1 </w:t>
      </w:r>
      <w:r>
        <w:t>oraz art. 54 ust. 1 pkt 3 i ust. 3 ustawy z dnia 27 sierpnia </w:t>
      </w:r>
      <w:r w:rsidRPr="003E3E06">
        <w:t>2009</w:t>
      </w:r>
      <w:r>
        <w:t xml:space="preserve"> r. o </w:t>
      </w:r>
      <w:r w:rsidRPr="003E3E06">
        <w:t>finansach publicznych</w:t>
      </w:r>
      <w:r>
        <w:t>.</w:t>
      </w:r>
      <w:r>
        <w:rPr>
          <w:rStyle w:val="Odwoanieprzypisudolnego"/>
        </w:rPr>
        <w:footnoteReference w:id="10"/>
      </w:r>
    </w:p>
    <w:p w14:paraId="3A893F94" w14:textId="77777777" w:rsidR="00A12532" w:rsidRPr="00DD4D60" w:rsidRDefault="00A12532" w:rsidP="00A12532">
      <w:pPr>
        <w:numPr>
          <w:ilvl w:val="0"/>
          <w:numId w:val="8"/>
        </w:numPr>
        <w:spacing w:before="120" w:after="0" w:line="360" w:lineRule="auto"/>
        <w:jc w:val="both"/>
      </w:pPr>
      <w:r w:rsidRPr="00DD4D60">
        <w:t>Umowy stanowiące podstawę zaciągania zobowiązań finansowych zawierać po uzyskaniu kontrasygnaty Głównego księgowego, stosownie do dyspozycji zawartej w pełnomocnictwie udzielonym przez Prezydenta Miasta.</w:t>
      </w:r>
    </w:p>
    <w:p w14:paraId="3E58DB65" w14:textId="77777777" w:rsidR="00A12532" w:rsidRPr="00DD4D60" w:rsidRDefault="00A12532" w:rsidP="00A12532">
      <w:pPr>
        <w:numPr>
          <w:ilvl w:val="0"/>
          <w:numId w:val="8"/>
        </w:numPr>
        <w:spacing w:before="120" w:after="0" w:line="360" w:lineRule="auto"/>
        <w:jc w:val="both"/>
      </w:pPr>
      <w:r w:rsidRPr="00DD4D60">
        <w:t>Przestrzegać ustalonych w jednostce wewnętrznych procedur dotyczących udzielania zamówień publicznych o wartości do 5 000 zł.</w:t>
      </w:r>
    </w:p>
    <w:p w14:paraId="71E5883B" w14:textId="77777777" w:rsidR="00A12532" w:rsidRPr="00DD4D60" w:rsidRDefault="00A12532" w:rsidP="00A12532">
      <w:pPr>
        <w:numPr>
          <w:ilvl w:val="0"/>
          <w:numId w:val="8"/>
        </w:numPr>
        <w:spacing w:before="120" w:after="0" w:line="360" w:lineRule="auto"/>
        <w:jc w:val="both"/>
      </w:pPr>
      <w:r w:rsidRPr="00DD4D60">
        <w:t>Zobowiązania publicznoprawne oraz wobec kontrahentów regulować w terminach wynikających z wcześniej zaciągniętych zobowiązań, zgodnie z art. 44 ust. 3 pkt 3 ustawy o finansach publicznych.</w:t>
      </w:r>
    </w:p>
    <w:p w14:paraId="0DA837C6" w14:textId="77777777" w:rsidR="00A12532" w:rsidRDefault="00A12532" w:rsidP="00A12532">
      <w:pPr>
        <w:numPr>
          <w:ilvl w:val="0"/>
          <w:numId w:val="8"/>
        </w:numPr>
        <w:spacing w:before="120" w:after="0" w:line="360" w:lineRule="auto"/>
        <w:jc w:val="both"/>
      </w:pPr>
      <w:r>
        <w:lastRenderedPageBreak/>
        <w:t>Przestrzegać art. 26 ust. 1 ustawy o rachunkowości oraz z</w:t>
      </w:r>
      <w:r w:rsidRPr="00DD4D60">
        <w:t>apewnić</w:t>
      </w:r>
      <w:r>
        <w:t>, stosownie do art. </w:t>
      </w:r>
      <w:r w:rsidRPr="00DD4D60">
        <w:t>27 ust.</w:t>
      </w:r>
      <w:r>
        <w:t xml:space="preserve"> 1 tej ustawy, odpowiednie</w:t>
      </w:r>
      <w:r w:rsidRPr="00DD4D60">
        <w:t xml:space="preserve"> dokumentowanie </w:t>
      </w:r>
      <w:r>
        <w:t xml:space="preserve">wyników </w:t>
      </w:r>
      <w:r w:rsidRPr="00DD4D60">
        <w:t>przeprowadzenia inwentaryzacji kasy i druków ścisłego zarachowania</w:t>
      </w:r>
      <w:r>
        <w:t xml:space="preserve">, w odniesieniu do druków </w:t>
      </w:r>
      <w:r w:rsidRPr="009C019C">
        <w:t xml:space="preserve">będących na stanie w księdze </w:t>
      </w:r>
      <w:r>
        <w:t>druków ścisłego zarachowania oraz</w:t>
      </w:r>
      <w:r w:rsidRPr="009C019C">
        <w:t xml:space="preserve"> </w:t>
      </w:r>
      <w:r>
        <w:t>w kasie</w:t>
      </w:r>
      <w:r w:rsidRPr="00DD4D60">
        <w:t>.</w:t>
      </w:r>
    </w:p>
    <w:p w14:paraId="09704F9F" w14:textId="77777777" w:rsidR="00A12532" w:rsidRPr="00DD4D60" w:rsidRDefault="00A12532" w:rsidP="00A12532">
      <w:pPr>
        <w:numPr>
          <w:ilvl w:val="0"/>
          <w:numId w:val="8"/>
        </w:numPr>
        <w:spacing w:before="120" w:after="0" w:line="360" w:lineRule="auto"/>
        <w:jc w:val="both"/>
      </w:pPr>
      <w:r w:rsidRPr="009C019C">
        <w:t>Zapewnić przestrzeganie przepisów art. 26 ust.</w:t>
      </w:r>
      <w:r>
        <w:t xml:space="preserve"> 1 ustawy o rachunkowości</w:t>
      </w:r>
      <w:r w:rsidRPr="009C019C">
        <w:t xml:space="preserve"> w zakresie inwentaryzacji </w:t>
      </w:r>
      <w:r w:rsidRPr="00DD4D60">
        <w:t>drogą weryfikacji sald</w:t>
      </w:r>
      <w:r>
        <w:t xml:space="preserve"> oraz </w:t>
      </w:r>
      <w:r w:rsidRPr="009C019C">
        <w:t>art. 27 ust.</w:t>
      </w:r>
      <w:r>
        <w:t xml:space="preserve"> </w:t>
      </w:r>
      <w:r w:rsidRPr="009C019C">
        <w:t>1</w:t>
      </w:r>
      <w:r>
        <w:t xml:space="preserve"> tej</w:t>
      </w:r>
      <w:r w:rsidRPr="009C019C">
        <w:t xml:space="preserve"> ustawy, </w:t>
      </w:r>
      <w:r>
        <w:t>zgodnie z którym</w:t>
      </w:r>
      <w:r w:rsidRPr="009C019C">
        <w:t xml:space="preserve"> przeprowadzenie i wyniki inwentaryzacji nal</w:t>
      </w:r>
      <w:r>
        <w:t>eży odpowiednio udokumentować i </w:t>
      </w:r>
      <w:r w:rsidRPr="009C019C">
        <w:t>powiązać z zapisami ksiąg rachunkowych.</w:t>
      </w:r>
    </w:p>
    <w:p w14:paraId="34AB2C14" w14:textId="77777777" w:rsidR="00A12532" w:rsidRPr="00DD4D60" w:rsidRDefault="00A12532" w:rsidP="00A12532">
      <w:pPr>
        <w:spacing w:before="120" w:after="0" w:line="360" w:lineRule="auto"/>
        <w:ind w:left="454"/>
        <w:jc w:val="both"/>
      </w:pPr>
    </w:p>
    <w:p w14:paraId="25C6C047" w14:textId="77777777" w:rsidR="00A12532" w:rsidRPr="00DD4D60" w:rsidRDefault="00A12532" w:rsidP="00A12532">
      <w:pPr>
        <w:spacing w:after="240" w:line="360" w:lineRule="auto"/>
        <w:contextualSpacing/>
        <w:jc w:val="both"/>
      </w:pPr>
      <w:r w:rsidRPr="00DD4D60">
        <w:t>Proszę w terminie 14 dni od daty otrzymania wystąpienia pokontrolnego przedstawić pisemną informację o podjętych działaniach w celu wyeliminowania stwierdzonych nieprawidłowości i uchybień.</w:t>
      </w:r>
      <w:r>
        <w:rPr>
          <w:vertAlign w:val="superscript"/>
        </w:rPr>
        <w:footnoteReference w:id="11"/>
      </w:r>
    </w:p>
    <w:p w14:paraId="54CB226F" w14:textId="77777777" w:rsidR="00A12532" w:rsidRDefault="00A12532" w:rsidP="00A12532">
      <w:pPr>
        <w:spacing w:after="240" w:line="240" w:lineRule="auto"/>
        <w:ind w:left="709"/>
        <w:contextualSpacing/>
        <w:jc w:val="both"/>
        <w:rPr>
          <w:szCs w:val="24"/>
        </w:rPr>
      </w:pPr>
    </w:p>
    <w:p w14:paraId="0FF4D079" w14:textId="77777777" w:rsidR="00A12532" w:rsidRPr="00DD4D60" w:rsidRDefault="00A12532" w:rsidP="00A12532">
      <w:pPr>
        <w:spacing w:after="240" w:line="240" w:lineRule="auto"/>
        <w:ind w:left="709"/>
        <w:contextualSpacing/>
        <w:jc w:val="both"/>
        <w:rPr>
          <w:szCs w:val="24"/>
        </w:rPr>
      </w:pPr>
    </w:p>
    <w:p w14:paraId="3DEE64C2" w14:textId="77777777" w:rsidR="00A12532" w:rsidRPr="00F140BC" w:rsidRDefault="00A12532" w:rsidP="00A12532">
      <w:pPr>
        <w:pStyle w:val="Trepisma"/>
        <w:rPr>
          <w:szCs w:val="24"/>
        </w:rPr>
      </w:pPr>
    </w:p>
    <w:bookmarkEnd w:id="2"/>
    <w:p w14:paraId="7D9C4628" w14:textId="77777777" w:rsidR="00A12532" w:rsidRPr="00E97AEB" w:rsidRDefault="00A12532" w:rsidP="00A12532">
      <w:pPr>
        <w:pStyle w:val="Stanowisko"/>
        <w:rPr>
          <w:b/>
        </w:rPr>
      </w:pPr>
      <w:r w:rsidRPr="00E97AEB">
        <w:rPr>
          <w:b/>
        </w:rPr>
        <w:t>Z upoważnienia Prezydenta Miasta</w:t>
      </w:r>
      <w:r w:rsidRPr="00E97AEB">
        <w:rPr>
          <w:b/>
        </w:rPr>
        <w:br/>
        <w:t>Piotrkowa Trybunalskiego</w:t>
      </w:r>
    </w:p>
    <w:p w14:paraId="6F3C6B02" w14:textId="77777777" w:rsidR="00A12532" w:rsidRPr="00E97AEB" w:rsidRDefault="00A12532" w:rsidP="00A12532">
      <w:pPr>
        <w:pStyle w:val="Imiinazwisko"/>
        <w:rPr>
          <w:b/>
        </w:rPr>
      </w:pPr>
      <w:r w:rsidRPr="00E97AEB">
        <w:rPr>
          <w:b/>
        </w:rPr>
        <w:t>Andrzej Kacperek</w:t>
      </w:r>
    </w:p>
    <w:p w14:paraId="7BE21CF1" w14:textId="77777777" w:rsidR="00A12532" w:rsidRPr="00E97AEB" w:rsidRDefault="00A12532" w:rsidP="00A12532">
      <w:pPr>
        <w:pStyle w:val="Imiinazwisko"/>
        <w:rPr>
          <w:b/>
        </w:rPr>
      </w:pPr>
      <w:r w:rsidRPr="00E97AEB">
        <w:rPr>
          <w:b/>
        </w:rPr>
        <w:t>I Zastępca Prezydenta Miasta</w:t>
      </w:r>
    </w:p>
    <w:p w14:paraId="2C7D3513" w14:textId="77777777" w:rsidR="00A12532" w:rsidRPr="00E511E9" w:rsidRDefault="00A12532" w:rsidP="00A12532">
      <w:pPr>
        <w:pStyle w:val="PodpElektr"/>
      </w:pPr>
      <w:bookmarkStart w:id="3" w:name="_Hlk61333654"/>
      <w:r w:rsidRPr="00E511E9">
        <w:t>Dokument podpisany kwalifikowanym podpisem elektronicznym</w:t>
      </w:r>
    </w:p>
    <w:bookmarkEnd w:id="3"/>
    <w:p w14:paraId="5A69E68D" w14:textId="77777777" w:rsidR="00A12532" w:rsidRPr="008B7C45" w:rsidRDefault="00A12532" w:rsidP="00A12532">
      <w:pPr>
        <w:pStyle w:val="Kocwka"/>
      </w:pPr>
    </w:p>
    <w:p w14:paraId="2BBEA875" w14:textId="77777777" w:rsidR="00582836" w:rsidRDefault="00582836"/>
    <w:sectPr w:rsidR="00582836" w:rsidSect="00D27378">
      <w:footerReference w:type="default" r:id="rId8"/>
      <w:footerReference w:type="first" r:id="rId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1A9F" w14:textId="77777777" w:rsidR="00A12532" w:rsidRDefault="00A12532" w:rsidP="00A12532">
      <w:pPr>
        <w:spacing w:after="0" w:line="240" w:lineRule="auto"/>
      </w:pPr>
      <w:r>
        <w:separator/>
      </w:r>
    </w:p>
  </w:endnote>
  <w:endnote w:type="continuationSeparator" w:id="0">
    <w:p w14:paraId="2F85797F" w14:textId="77777777" w:rsidR="00A12532" w:rsidRDefault="00A12532" w:rsidP="00A1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haroni">
    <w:altName w:val="Times New Roman"/>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357746"/>
      <w:docPartObj>
        <w:docPartGallery w:val="Page Numbers (Bottom of Page)"/>
        <w:docPartUnique/>
      </w:docPartObj>
    </w:sdtPr>
    <w:sdtEndPr>
      <w:rPr>
        <w:rFonts w:asciiTheme="majorHAnsi" w:hAnsiTheme="majorHAnsi"/>
        <w:sz w:val="28"/>
        <w:szCs w:val="28"/>
      </w:rPr>
    </w:sdtEndPr>
    <w:sdtContent>
      <w:p w14:paraId="51CB3C60" w14:textId="77777777" w:rsidR="00B5272C" w:rsidRPr="00B5272C" w:rsidRDefault="005D2E99" w:rsidP="00B5272C">
        <w:pPr>
          <w:pStyle w:val="Stopka"/>
          <w:rPr>
            <w:rFonts w:asciiTheme="majorHAnsi" w:hAnsiTheme="majorHAnsi"/>
            <w:sz w:val="28"/>
            <w:szCs w:val="28"/>
          </w:rPr>
        </w:pPr>
        <w:r>
          <w:t>Strona</w:t>
        </w:r>
        <w:r w:rsidRPr="00B5272C">
          <w:t xml:space="preserve"> </w:t>
        </w:r>
        <w:r w:rsidRPr="00280B71">
          <w:rPr>
            <w:b/>
          </w:rPr>
          <w:fldChar w:fldCharType="begin"/>
        </w:r>
        <w:r w:rsidRPr="00280B71">
          <w:rPr>
            <w:b/>
          </w:rPr>
          <w:instrText>PAGE    \* MERGEFORMAT</w:instrText>
        </w:r>
        <w:r w:rsidRPr="00280B71">
          <w:rPr>
            <w:b/>
          </w:rPr>
          <w:fldChar w:fldCharType="separate"/>
        </w:r>
        <w:r>
          <w:rPr>
            <w:b/>
            <w:noProof/>
          </w:rPr>
          <w:t>2</w:t>
        </w:r>
        <w:r w:rsidRPr="00280B71">
          <w:rPr>
            <w:b/>
          </w:rPr>
          <w:fldChar w:fldCharType="end"/>
        </w:r>
        <w:r>
          <w:t xml:space="preserve"> z </w:t>
        </w:r>
        <w:r w:rsidRPr="00280B71">
          <w:rPr>
            <w:b/>
          </w:rPr>
          <w:fldChar w:fldCharType="begin"/>
        </w:r>
        <w:r w:rsidRPr="00280B71">
          <w:rPr>
            <w:b/>
          </w:rPr>
          <w:instrText xml:space="preserve"> NUMPAGES   \* MERGEFORMAT </w:instrText>
        </w:r>
        <w:r w:rsidRPr="00280B71">
          <w:rPr>
            <w:b/>
          </w:rPr>
          <w:fldChar w:fldCharType="separate"/>
        </w:r>
        <w:r>
          <w:rPr>
            <w:b/>
            <w:noProof/>
          </w:rPr>
          <w:t>18</w:t>
        </w:r>
        <w:r w:rsidRPr="00280B71">
          <w:rPr>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7D39" w14:textId="77777777" w:rsidR="00DF1D5A" w:rsidRDefault="00DD21F4">
    <w:pPr>
      <w:pStyle w:val="Stopka"/>
    </w:pPr>
  </w:p>
  <w:p w14:paraId="595CAF93" w14:textId="77777777" w:rsidR="004B3882" w:rsidRDefault="00DD21F4">
    <w:pPr>
      <w:pStyle w:val="Stopka"/>
    </w:pPr>
  </w:p>
  <w:p w14:paraId="53C87943" w14:textId="77777777" w:rsidR="004D70DE" w:rsidRDefault="00DD21F4">
    <w:pPr>
      <w:pStyle w:val="Stopka"/>
    </w:pPr>
  </w:p>
  <w:p w14:paraId="4CE0D788" w14:textId="77777777" w:rsidR="00DF1D5A" w:rsidRDefault="00DD21F4">
    <w:pPr>
      <w:pStyle w:val="Stopka"/>
    </w:pPr>
  </w:p>
  <w:p w14:paraId="68B94E3A" w14:textId="77777777" w:rsidR="00DF1D5A" w:rsidRDefault="00DD21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664C" w14:textId="77777777" w:rsidR="00A12532" w:rsidRDefault="00A12532" w:rsidP="00A12532">
      <w:pPr>
        <w:spacing w:after="0" w:line="240" w:lineRule="auto"/>
      </w:pPr>
      <w:r>
        <w:separator/>
      </w:r>
    </w:p>
  </w:footnote>
  <w:footnote w:type="continuationSeparator" w:id="0">
    <w:p w14:paraId="2A11ADE0" w14:textId="77777777" w:rsidR="00A12532" w:rsidRDefault="00A12532" w:rsidP="00A12532">
      <w:pPr>
        <w:spacing w:after="0" w:line="240" w:lineRule="auto"/>
      </w:pPr>
      <w:r>
        <w:continuationSeparator/>
      </w:r>
    </w:p>
  </w:footnote>
  <w:footnote w:id="1">
    <w:p w14:paraId="56349D22" w14:textId="77777777" w:rsidR="00A12532" w:rsidRPr="00244D50" w:rsidRDefault="00A12532" w:rsidP="00A12532">
      <w:pPr>
        <w:pStyle w:val="Tekstprzypisudolnego"/>
      </w:pPr>
      <w:r w:rsidRPr="00244D50">
        <w:rPr>
          <w:rStyle w:val="Odwoanieprzypisudolnego"/>
        </w:rPr>
        <w:footnoteRef/>
      </w:r>
      <w:r w:rsidRPr="00244D50">
        <w:t xml:space="preserve"> T.j. Dz.U. z 2018 poz. 395 ze zm. / od 22.02.2019 r. t.j. Dz.U. z 2019 r. poz. 351 ze zm.</w:t>
      </w:r>
    </w:p>
  </w:footnote>
  <w:footnote w:id="2">
    <w:p w14:paraId="3B7D0CA6" w14:textId="77777777" w:rsidR="00A12532" w:rsidRPr="00244D50" w:rsidRDefault="00A12532" w:rsidP="00A12532">
      <w:pPr>
        <w:pStyle w:val="Tekstprzypisudolnego"/>
      </w:pPr>
      <w:r w:rsidRPr="00244D50">
        <w:rPr>
          <w:rStyle w:val="Odwoanieprzypisudolnego"/>
        </w:rPr>
        <w:footnoteRef/>
      </w:r>
      <w:r w:rsidRPr="00244D50">
        <w:t xml:space="preserve"> Dz.U. z 2017 r. poz. 1911 ze zm.</w:t>
      </w:r>
    </w:p>
  </w:footnote>
  <w:footnote w:id="3">
    <w:p w14:paraId="475B1A57" w14:textId="77777777" w:rsidR="00A12532" w:rsidRPr="00244D50" w:rsidRDefault="00A12532" w:rsidP="00A12532">
      <w:pPr>
        <w:pStyle w:val="Tekstprzypisudolnego"/>
      </w:pPr>
      <w:r w:rsidRPr="00244D50">
        <w:rPr>
          <w:rStyle w:val="Odwoanieprzypisudolnego"/>
        </w:rPr>
        <w:footnoteRef/>
      </w:r>
      <w:r w:rsidRPr="00244D50">
        <w:t xml:space="preserve"> </w:t>
      </w:r>
      <w:r w:rsidRPr="00244D50">
        <w:t>T.j. Dz.U. z 2019 r. poz. 869 ze zm.</w:t>
      </w:r>
    </w:p>
  </w:footnote>
  <w:footnote w:id="4">
    <w:p w14:paraId="0D0E53E0" w14:textId="77777777" w:rsidR="00A12532" w:rsidRPr="00244D50" w:rsidRDefault="00A12532" w:rsidP="00A12532">
      <w:pPr>
        <w:pStyle w:val="Tekstprzypisudolnego"/>
      </w:pPr>
      <w:r w:rsidRPr="00244D50">
        <w:rPr>
          <w:rStyle w:val="Odwoanieprzypisudolnego"/>
        </w:rPr>
        <w:footnoteRef/>
      </w:r>
      <w:r w:rsidRPr="00244D50">
        <w:t xml:space="preserve"> </w:t>
      </w:r>
      <w:r w:rsidRPr="00244D50">
        <w:t>T.j. Dz. U. z 2019 r. poz. 1148 ze zm.</w:t>
      </w:r>
    </w:p>
  </w:footnote>
  <w:footnote w:id="5">
    <w:p w14:paraId="79B46ACC" w14:textId="77777777" w:rsidR="00A12532" w:rsidRPr="00877B37" w:rsidRDefault="00A12532" w:rsidP="00A12532">
      <w:pPr>
        <w:pStyle w:val="Tekstprzypisudolnego"/>
        <w:rPr>
          <w:sz w:val="16"/>
          <w:szCs w:val="16"/>
        </w:rPr>
      </w:pPr>
      <w:r w:rsidRPr="00244D50">
        <w:rPr>
          <w:rStyle w:val="Odwoanieprzypisudolnego"/>
        </w:rPr>
        <w:footnoteRef/>
      </w:r>
      <w:r w:rsidRPr="00244D50">
        <w:t xml:space="preserve"> Regulamin udzielania zamówień publicznych, których wartość nie przekracza wyrażonej w złotych równowartości kwoty określonej w art. 4 pkt 8 ustawy Prawo Zamówień Publicznych wprowadzony zarządzeniem nr 18/2018 Dyrektora Pogotowia z dnia 01.10.2018 r.</w:t>
      </w:r>
      <w:r w:rsidRPr="00877B37">
        <w:rPr>
          <w:sz w:val="16"/>
          <w:szCs w:val="16"/>
        </w:rPr>
        <w:t xml:space="preserve">  </w:t>
      </w:r>
    </w:p>
  </w:footnote>
  <w:footnote w:id="6">
    <w:p w14:paraId="19721DAE" w14:textId="77777777" w:rsidR="00A12532" w:rsidRDefault="00A12532" w:rsidP="00A12532">
      <w:pPr>
        <w:pStyle w:val="Tekstprzypisudolnego"/>
      </w:pPr>
      <w:r>
        <w:rPr>
          <w:rStyle w:val="Odwoanieprzypisudolnego"/>
        </w:rPr>
        <w:footnoteRef/>
      </w:r>
      <w:r>
        <w:t xml:space="preserve"> </w:t>
      </w:r>
      <w:r w:rsidRPr="005302D0">
        <w:t>W toku kontroli ustalono, że wymienione w protokole numery dotyczą druków niepobranych, znajdujących się w ewidencji.</w:t>
      </w:r>
    </w:p>
  </w:footnote>
  <w:footnote w:id="7">
    <w:p w14:paraId="49E96291" w14:textId="77777777" w:rsidR="00A12532" w:rsidRDefault="00A12532" w:rsidP="00A12532">
      <w:pPr>
        <w:pStyle w:val="Tekstprzypisudolnego"/>
      </w:pPr>
      <w:r>
        <w:rPr>
          <w:rStyle w:val="Odwoanieprzypisudolnego"/>
        </w:rPr>
        <w:footnoteRef/>
      </w:r>
      <w:r>
        <w:t xml:space="preserve"> Dotyczy np. konta 221, którego saldo na koniec 2019 r. wynosiło 0,00 zł – do protokołu wpisano kwotę obrotów za okres od 01.01.2019 r. do 31.12.2019 r. na tym koncie, tj. 367,00 zł.</w:t>
      </w:r>
    </w:p>
  </w:footnote>
  <w:footnote w:id="8">
    <w:p w14:paraId="19774406" w14:textId="77777777" w:rsidR="00A12532" w:rsidRDefault="00A12532" w:rsidP="00A12532">
      <w:pPr>
        <w:pStyle w:val="Tekstprzypisudolnego"/>
      </w:pPr>
      <w:r>
        <w:rPr>
          <w:rStyle w:val="Odwoanieprzypisudolnego"/>
        </w:rPr>
        <w:footnoteRef/>
      </w:r>
      <w:r>
        <w:t xml:space="preserve"> </w:t>
      </w:r>
      <w:r w:rsidRPr="00244D50">
        <w:t xml:space="preserve">T.j. Dz.U. z 2021 r. poz. </w:t>
      </w:r>
      <w:r>
        <w:t>217 ze zm.</w:t>
      </w:r>
    </w:p>
  </w:footnote>
  <w:footnote w:id="9">
    <w:p w14:paraId="0F794A83" w14:textId="77777777" w:rsidR="00A12532" w:rsidRDefault="00A12532" w:rsidP="00A12532">
      <w:pPr>
        <w:pStyle w:val="Tekstprzypisudolnego"/>
      </w:pPr>
      <w:r>
        <w:rPr>
          <w:rStyle w:val="Odwoanieprzypisudolnego"/>
        </w:rPr>
        <w:footnoteRef/>
      </w:r>
      <w:r>
        <w:t xml:space="preserve"> </w:t>
      </w:r>
      <w:r>
        <w:t xml:space="preserve">T.j. </w:t>
      </w:r>
      <w:r w:rsidRPr="00244D50">
        <w:t>Dz.U.</w:t>
      </w:r>
      <w:r>
        <w:t xml:space="preserve"> z </w:t>
      </w:r>
      <w:r w:rsidRPr="00244D50">
        <w:t>2020</w:t>
      </w:r>
      <w:r>
        <w:t xml:space="preserve"> r</w:t>
      </w:r>
      <w:r w:rsidRPr="00244D50">
        <w:t>.</w:t>
      </w:r>
      <w:r>
        <w:t xml:space="preserve"> poz. 342</w:t>
      </w:r>
    </w:p>
  </w:footnote>
  <w:footnote w:id="10">
    <w:p w14:paraId="3B2C3D23" w14:textId="77777777" w:rsidR="00A12532" w:rsidRDefault="00A12532" w:rsidP="00A12532">
      <w:pPr>
        <w:pStyle w:val="Tekstprzypisudolnego"/>
      </w:pPr>
      <w:r>
        <w:rPr>
          <w:rStyle w:val="Odwoanieprzypisudolnego"/>
        </w:rPr>
        <w:footnoteRef/>
      </w:r>
      <w:r>
        <w:t xml:space="preserve"> </w:t>
      </w:r>
      <w:r>
        <w:t>T.j. Dz.U. z 2021 r. poz. 305</w:t>
      </w:r>
    </w:p>
  </w:footnote>
  <w:footnote w:id="11">
    <w:p w14:paraId="2B322E60" w14:textId="77777777" w:rsidR="00A12532" w:rsidRPr="00274637" w:rsidRDefault="00A12532" w:rsidP="00A12532">
      <w:pPr>
        <w:pStyle w:val="Tekstprzypisudolnego"/>
        <w:jc w:val="both"/>
      </w:pPr>
      <w:r w:rsidRPr="00274637">
        <w:rPr>
          <w:rStyle w:val="Odwoanieprzypisudolnego"/>
        </w:rPr>
        <w:footnoteRef/>
      </w:r>
      <w:r w:rsidRPr="00274637">
        <w:t xml:space="preserve"> Wzór informacji z realizacji zaleceń pokontrolnych stanowi załącznik nr 2 do Regulaminu przeprowadzania kontroli przez Biuro Kontroli Urzędu Miasta Piotrkowa Trybunalskiego, wprowadzonego Zarządzeniem Nr 16 Prezydenta Miasta Piotrkowa Trybunalskiego z dnia 22 stycznia 2020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0C17"/>
    <w:multiLevelType w:val="multilevel"/>
    <w:tmpl w:val="F4560D76"/>
    <w:lvl w:ilvl="0">
      <w:start w:val="1"/>
      <w:numFmt w:val="decimal"/>
      <w:lvlText w:val="%1."/>
      <w:lvlJc w:val="left"/>
      <w:pPr>
        <w:ind w:left="454" w:hanging="454"/>
      </w:pPr>
      <w:rPr>
        <w:rFonts w:hint="default"/>
        <w:color w:val="auto"/>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4D419E1"/>
    <w:multiLevelType w:val="hybridMultilevel"/>
    <w:tmpl w:val="E7E00388"/>
    <w:lvl w:ilvl="0" w:tplc="7208F60C">
      <w:start w:val="1"/>
      <w:numFmt w:val="bullet"/>
      <w:lvlText w:val=""/>
      <w:lvlJc w:val="left"/>
      <w:pPr>
        <w:ind w:left="1429" w:hanging="360"/>
      </w:pPr>
      <w:rPr>
        <w:rFonts w:ascii="Symbol" w:hAnsi="Symbol" w:hint="default"/>
      </w:rPr>
    </w:lvl>
    <w:lvl w:ilvl="1" w:tplc="CE8680C2" w:tentative="1">
      <w:start w:val="1"/>
      <w:numFmt w:val="bullet"/>
      <w:lvlText w:val="o"/>
      <w:lvlJc w:val="left"/>
      <w:pPr>
        <w:ind w:left="2149" w:hanging="360"/>
      </w:pPr>
      <w:rPr>
        <w:rFonts w:ascii="Courier New" w:hAnsi="Courier New" w:cs="Courier New" w:hint="default"/>
      </w:rPr>
    </w:lvl>
    <w:lvl w:ilvl="2" w:tplc="EF72AF32" w:tentative="1">
      <w:start w:val="1"/>
      <w:numFmt w:val="bullet"/>
      <w:lvlText w:val=""/>
      <w:lvlJc w:val="left"/>
      <w:pPr>
        <w:ind w:left="2869" w:hanging="360"/>
      </w:pPr>
      <w:rPr>
        <w:rFonts w:ascii="Wingdings" w:hAnsi="Wingdings" w:hint="default"/>
      </w:rPr>
    </w:lvl>
    <w:lvl w:ilvl="3" w:tplc="9FFCEF48" w:tentative="1">
      <w:start w:val="1"/>
      <w:numFmt w:val="bullet"/>
      <w:lvlText w:val=""/>
      <w:lvlJc w:val="left"/>
      <w:pPr>
        <w:ind w:left="3589" w:hanging="360"/>
      </w:pPr>
      <w:rPr>
        <w:rFonts w:ascii="Symbol" w:hAnsi="Symbol" w:hint="default"/>
      </w:rPr>
    </w:lvl>
    <w:lvl w:ilvl="4" w:tplc="3898A488" w:tentative="1">
      <w:start w:val="1"/>
      <w:numFmt w:val="bullet"/>
      <w:lvlText w:val="o"/>
      <w:lvlJc w:val="left"/>
      <w:pPr>
        <w:ind w:left="4309" w:hanging="360"/>
      </w:pPr>
      <w:rPr>
        <w:rFonts w:ascii="Courier New" w:hAnsi="Courier New" w:cs="Courier New" w:hint="default"/>
      </w:rPr>
    </w:lvl>
    <w:lvl w:ilvl="5" w:tplc="74148874" w:tentative="1">
      <w:start w:val="1"/>
      <w:numFmt w:val="bullet"/>
      <w:lvlText w:val=""/>
      <w:lvlJc w:val="left"/>
      <w:pPr>
        <w:ind w:left="5029" w:hanging="360"/>
      </w:pPr>
      <w:rPr>
        <w:rFonts w:ascii="Wingdings" w:hAnsi="Wingdings" w:hint="default"/>
      </w:rPr>
    </w:lvl>
    <w:lvl w:ilvl="6" w:tplc="45E842C4" w:tentative="1">
      <w:start w:val="1"/>
      <w:numFmt w:val="bullet"/>
      <w:lvlText w:val=""/>
      <w:lvlJc w:val="left"/>
      <w:pPr>
        <w:ind w:left="5749" w:hanging="360"/>
      </w:pPr>
      <w:rPr>
        <w:rFonts w:ascii="Symbol" w:hAnsi="Symbol" w:hint="default"/>
      </w:rPr>
    </w:lvl>
    <w:lvl w:ilvl="7" w:tplc="B8DC5A32" w:tentative="1">
      <w:start w:val="1"/>
      <w:numFmt w:val="bullet"/>
      <w:lvlText w:val="o"/>
      <w:lvlJc w:val="left"/>
      <w:pPr>
        <w:ind w:left="6469" w:hanging="360"/>
      </w:pPr>
      <w:rPr>
        <w:rFonts w:ascii="Courier New" w:hAnsi="Courier New" w:cs="Courier New" w:hint="default"/>
      </w:rPr>
    </w:lvl>
    <w:lvl w:ilvl="8" w:tplc="A1BC37BC" w:tentative="1">
      <w:start w:val="1"/>
      <w:numFmt w:val="bullet"/>
      <w:lvlText w:val=""/>
      <w:lvlJc w:val="left"/>
      <w:pPr>
        <w:ind w:left="7189" w:hanging="360"/>
      </w:pPr>
      <w:rPr>
        <w:rFonts w:ascii="Wingdings" w:hAnsi="Wingdings" w:hint="default"/>
      </w:rPr>
    </w:lvl>
  </w:abstractNum>
  <w:abstractNum w:abstractNumId="2" w15:restartNumberingAfterBreak="0">
    <w:nsid w:val="33557DB6"/>
    <w:multiLevelType w:val="hybridMultilevel"/>
    <w:tmpl w:val="1A8E1FAA"/>
    <w:lvl w:ilvl="0" w:tplc="308A726C">
      <w:start w:val="1"/>
      <w:numFmt w:val="bullet"/>
      <w:lvlText w:val=""/>
      <w:lvlJc w:val="left"/>
      <w:pPr>
        <w:ind w:left="590" w:hanging="360"/>
      </w:pPr>
      <w:rPr>
        <w:rFonts w:ascii="Symbol" w:hAnsi="Symbol" w:hint="default"/>
      </w:rPr>
    </w:lvl>
    <w:lvl w:ilvl="1" w:tplc="1548DE20" w:tentative="1">
      <w:start w:val="1"/>
      <w:numFmt w:val="bullet"/>
      <w:lvlText w:val="o"/>
      <w:lvlJc w:val="left"/>
      <w:pPr>
        <w:ind w:left="1310" w:hanging="360"/>
      </w:pPr>
      <w:rPr>
        <w:rFonts w:ascii="Courier New" w:hAnsi="Courier New" w:cs="Courier New" w:hint="default"/>
      </w:rPr>
    </w:lvl>
    <w:lvl w:ilvl="2" w:tplc="F6EEA63E" w:tentative="1">
      <w:start w:val="1"/>
      <w:numFmt w:val="bullet"/>
      <w:lvlText w:val=""/>
      <w:lvlJc w:val="left"/>
      <w:pPr>
        <w:ind w:left="2030" w:hanging="360"/>
      </w:pPr>
      <w:rPr>
        <w:rFonts w:ascii="Wingdings" w:hAnsi="Wingdings" w:hint="default"/>
      </w:rPr>
    </w:lvl>
    <w:lvl w:ilvl="3" w:tplc="42D8CD14" w:tentative="1">
      <w:start w:val="1"/>
      <w:numFmt w:val="bullet"/>
      <w:lvlText w:val=""/>
      <w:lvlJc w:val="left"/>
      <w:pPr>
        <w:ind w:left="2750" w:hanging="360"/>
      </w:pPr>
      <w:rPr>
        <w:rFonts w:ascii="Symbol" w:hAnsi="Symbol" w:hint="default"/>
      </w:rPr>
    </w:lvl>
    <w:lvl w:ilvl="4" w:tplc="1220A322" w:tentative="1">
      <w:start w:val="1"/>
      <w:numFmt w:val="bullet"/>
      <w:lvlText w:val="o"/>
      <w:lvlJc w:val="left"/>
      <w:pPr>
        <w:ind w:left="3470" w:hanging="360"/>
      </w:pPr>
      <w:rPr>
        <w:rFonts w:ascii="Courier New" w:hAnsi="Courier New" w:cs="Courier New" w:hint="default"/>
      </w:rPr>
    </w:lvl>
    <w:lvl w:ilvl="5" w:tplc="005C0A58" w:tentative="1">
      <w:start w:val="1"/>
      <w:numFmt w:val="bullet"/>
      <w:lvlText w:val=""/>
      <w:lvlJc w:val="left"/>
      <w:pPr>
        <w:ind w:left="4190" w:hanging="360"/>
      </w:pPr>
      <w:rPr>
        <w:rFonts w:ascii="Wingdings" w:hAnsi="Wingdings" w:hint="default"/>
      </w:rPr>
    </w:lvl>
    <w:lvl w:ilvl="6" w:tplc="2F482E48" w:tentative="1">
      <w:start w:val="1"/>
      <w:numFmt w:val="bullet"/>
      <w:lvlText w:val=""/>
      <w:lvlJc w:val="left"/>
      <w:pPr>
        <w:ind w:left="4910" w:hanging="360"/>
      </w:pPr>
      <w:rPr>
        <w:rFonts w:ascii="Symbol" w:hAnsi="Symbol" w:hint="default"/>
      </w:rPr>
    </w:lvl>
    <w:lvl w:ilvl="7" w:tplc="DFB855E6" w:tentative="1">
      <w:start w:val="1"/>
      <w:numFmt w:val="bullet"/>
      <w:lvlText w:val="o"/>
      <w:lvlJc w:val="left"/>
      <w:pPr>
        <w:ind w:left="5630" w:hanging="360"/>
      </w:pPr>
      <w:rPr>
        <w:rFonts w:ascii="Courier New" w:hAnsi="Courier New" w:cs="Courier New" w:hint="default"/>
      </w:rPr>
    </w:lvl>
    <w:lvl w:ilvl="8" w:tplc="A8BA67A0" w:tentative="1">
      <w:start w:val="1"/>
      <w:numFmt w:val="bullet"/>
      <w:lvlText w:val=""/>
      <w:lvlJc w:val="left"/>
      <w:pPr>
        <w:ind w:left="6350" w:hanging="360"/>
      </w:pPr>
      <w:rPr>
        <w:rFonts w:ascii="Wingdings" w:hAnsi="Wingdings" w:hint="default"/>
      </w:rPr>
    </w:lvl>
  </w:abstractNum>
  <w:abstractNum w:abstractNumId="3" w15:restartNumberingAfterBreak="0">
    <w:nsid w:val="3ADE0890"/>
    <w:multiLevelType w:val="multilevel"/>
    <w:tmpl w:val="4658F70A"/>
    <w:lvl w:ilvl="0">
      <w:start w:val="1"/>
      <w:numFmt w:val="lowerLetter"/>
      <w:lvlText w:val="%1)"/>
      <w:lvlJc w:val="left"/>
      <w:pPr>
        <w:ind w:left="510" w:hanging="453"/>
      </w:pPr>
      <w:rPr>
        <w:rFonts w:hint="default"/>
        <w:color w:val="auto"/>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3943E0D"/>
    <w:multiLevelType w:val="hybridMultilevel"/>
    <w:tmpl w:val="99F6D8EA"/>
    <w:lvl w:ilvl="0" w:tplc="3740DC8A">
      <w:start w:val="1"/>
      <w:numFmt w:val="decimal"/>
      <w:pStyle w:val="Tytutabeli"/>
      <w:lvlText w:val="Tabela nr %1"/>
      <w:lvlJc w:val="left"/>
      <w:pPr>
        <w:ind w:left="717"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8A2043"/>
    <w:multiLevelType w:val="multilevel"/>
    <w:tmpl w:val="B9FA5638"/>
    <w:lvl w:ilvl="0">
      <w:start w:val="1"/>
      <w:numFmt w:val="decimal"/>
      <w:lvlText w:val="%1."/>
      <w:lvlJc w:val="left"/>
      <w:pPr>
        <w:ind w:left="454" w:hanging="454"/>
      </w:pPr>
      <w:rPr>
        <w:rFonts w:hint="default"/>
        <w:color w:val="auto"/>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C577B05"/>
    <w:multiLevelType w:val="hybridMultilevel"/>
    <w:tmpl w:val="155A63B2"/>
    <w:lvl w:ilvl="0" w:tplc="08CA675C">
      <w:start w:val="1"/>
      <w:numFmt w:val="decimal"/>
      <w:lvlText w:val="%1."/>
      <w:lvlJc w:val="left"/>
      <w:pPr>
        <w:ind w:left="720" w:hanging="360"/>
      </w:pPr>
    </w:lvl>
    <w:lvl w:ilvl="1" w:tplc="8D40787E" w:tentative="1">
      <w:start w:val="1"/>
      <w:numFmt w:val="lowerLetter"/>
      <w:lvlText w:val="%2."/>
      <w:lvlJc w:val="left"/>
      <w:pPr>
        <w:ind w:left="1440" w:hanging="360"/>
      </w:pPr>
    </w:lvl>
    <w:lvl w:ilvl="2" w:tplc="190C60C0" w:tentative="1">
      <w:start w:val="1"/>
      <w:numFmt w:val="lowerRoman"/>
      <w:lvlText w:val="%3."/>
      <w:lvlJc w:val="right"/>
      <w:pPr>
        <w:ind w:left="2160" w:hanging="180"/>
      </w:pPr>
    </w:lvl>
    <w:lvl w:ilvl="3" w:tplc="14A20F78" w:tentative="1">
      <w:start w:val="1"/>
      <w:numFmt w:val="decimal"/>
      <w:lvlText w:val="%4."/>
      <w:lvlJc w:val="left"/>
      <w:pPr>
        <w:ind w:left="2880" w:hanging="360"/>
      </w:pPr>
    </w:lvl>
    <w:lvl w:ilvl="4" w:tplc="B316D894" w:tentative="1">
      <w:start w:val="1"/>
      <w:numFmt w:val="lowerLetter"/>
      <w:lvlText w:val="%5."/>
      <w:lvlJc w:val="left"/>
      <w:pPr>
        <w:ind w:left="3600" w:hanging="360"/>
      </w:pPr>
    </w:lvl>
    <w:lvl w:ilvl="5" w:tplc="3558F96E" w:tentative="1">
      <w:start w:val="1"/>
      <w:numFmt w:val="lowerRoman"/>
      <w:lvlText w:val="%6."/>
      <w:lvlJc w:val="right"/>
      <w:pPr>
        <w:ind w:left="4320" w:hanging="180"/>
      </w:pPr>
    </w:lvl>
    <w:lvl w:ilvl="6" w:tplc="8B9C81D0" w:tentative="1">
      <w:start w:val="1"/>
      <w:numFmt w:val="decimal"/>
      <w:lvlText w:val="%7."/>
      <w:lvlJc w:val="left"/>
      <w:pPr>
        <w:ind w:left="5040" w:hanging="360"/>
      </w:pPr>
    </w:lvl>
    <w:lvl w:ilvl="7" w:tplc="7812A978" w:tentative="1">
      <w:start w:val="1"/>
      <w:numFmt w:val="lowerLetter"/>
      <w:lvlText w:val="%8."/>
      <w:lvlJc w:val="left"/>
      <w:pPr>
        <w:ind w:left="5760" w:hanging="360"/>
      </w:pPr>
    </w:lvl>
    <w:lvl w:ilvl="8" w:tplc="CCD6B7B8" w:tentative="1">
      <w:start w:val="1"/>
      <w:numFmt w:val="lowerRoman"/>
      <w:lvlText w:val="%9."/>
      <w:lvlJc w:val="right"/>
      <w:pPr>
        <w:ind w:left="6480" w:hanging="180"/>
      </w:pPr>
    </w:lvl>
  </w:abstractNum>
  <w:num w:numId="1">
    <w:abstractNumId w:val="4"/>
  </w:num>
  <w:num w:numId="2">
    <w:abstractNumId w:val="4"/>
  </w:num>
  <w:num w:numId="3">
    <w:abstractNumId w:val="1"/>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32"/>
    <w:rsid w:val="00582836"/>
    <w:rsid w:val="005D2E99"/>
    <w:rsid w:val="00644EED"/>
    <w:rsid w:val="00943506"/>
    <w:rsid w:val="00A12532"/>
    <w:rsid w:val="00AF329C"/>
    <w:rsid w:val="00B42950"/>
    <w:rsid w:val="00DD21F4"/>
    <w:rsid w:val="00E24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3F77"/>
  <w15:chartTrackingRefBased/>
  <w15:docId w15:val="{34BF7636-8B5C-42C5-BA76-FFFCF6E0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2532"/>
    <w:rPr>
      <w:rFonts w:ascii="Arial" w:hAnsi="Arial"/>
      <w:sz w:val="24"/>
    </w:rPr>
  </w:style>
  <w:style w:type="paragraph" w:styleId="Nagwek1">
    <w:name w:val="heading 1"/>
    <w:basedOn w:val="Normalny"/>
    <w:next w:val="Normalny"/>
    <w:link w:val="Nagwek1Znak"/>
    <w:uiPriority w:val="9"/>
    <w:qFormat/>
    <w:rsid w:val="00644EED"/>
    <w:pPr>
      <w:keepNext/>
      <w:spacing w:before="120" w:after="0" w:line="360" w:lineRule="auto"/>
      <w:jc w:val="both"/>
      <w:outlineLvl w:val="0"/>
    </w:pPr>
    <w:rPr>
      <w:b/>
    </w:rPr>
  </w:style>
  <w:style w:type="paragraph" w:styleId="Nagwek5">
    <w:name w:val="heading 5"/>
    <w:basedOn w:val="Normalny"/>
    <w:next w:val="Normalny"/>
    <w:link w:val="Nagwek5Znak"/>
    <w:uiPriority w:val="9"/>
    <w:semiHidden/>
    <w:unhideWhenUsed/>
    <w:qFormat/>
    <w:rsid w:val="0094350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tabeli">
    <w:name w:val="Tytuł tabeli"/>
    <w:basedOn w:val="Nagwek5"/>
    <w:next w:val="Normalny"/>
    <w:qFormat/>
    <w:rsid w:val="00AF329C"/>
    <w:pPr>
      <w:numPr>
        <w:numId w:val="2"/>
      </w:numPr>
      <w:spacing w:before="240" w:line="360" w:lineRule="auto"/>
      <w:contextualSpacing/>
      <w:jc w:val="both"/>
    </w:pPr>
    <w:rPr>
      <w:rFonts w:ascii="Arial" w:eastAsiaTheme="minorEastAsia" w:hAnsi="Arial" w:cs="Arial"/>
      <w:b/>
      <w:color w:val="auto"/>
      <w:lang w:eastAsia="pl-PL"/>
    </w:rPr>
  </w:style>
  <w:style w:type="character" w:customStyle="1" w:styleId="Nagwek5Znak">
    <w:name w:val="Nagłówek 5 Znak"/>
    <w:basedOn w:val="Domylnaczcionkaakapitu"/>
    <w:link w:val="Nagwek5"/>
    <w:uiPriority w:val="9"/>
    <w:semiHidden/>
    <w:rsid w:val="00943506"/>
    <w:rPr>
      <w:rFonts w:asciiTheme="majorHAnsi" w:eastAsiaTheme="majorEastAsia" w:hAnsiTheme="majorHAnsi" w:cstheme="majorBidi"/>
      <w:color w:val="2E74B5" w:themeColor="accent1" w:themeShade="BF"/>
    </w:rPr>
  </w:style>
  <w:style w:type="character" w:customStyle="1" w:styleId="Nagwek1Znak">
    <w:name w:val="Nagłówek 1 Znak"/>
    <w:basedOn w:val="Domylnaczcionkaakapitu"/>
    <w:link w:val="Nagwek1"/>
    <w:uiPriority w:val="9"/>
    <w:rsid w:val="00644EED"/>
    <w:rPr>
      <w:rFonts w:ascii="Arial" w:hAnsi="Arial"/>
      <w:b/>
      <w:sz w:val="24"/>
    </w:rPr>
  </w:style>
  <w:style w:type="paragraph" w:customStyle="1" w:styleId="MiejscowoData">
    <w:name w:val="Miejscowość Data"/>
    <w:basedOn w:val="Normalny"/>
    <w:qFormat/>
    <w:rsid w:val="00A12532"/>
    <w:pPr>
      <w:spacing w:after="660" w:line="240" w:lineRule="auto"/>
      <w:jc w:val="right"/>
    </w:pPr>
  </w:style>
  <w:style w:type="paragraph" w:customStyle="1" w:styleId="Piecztka1">
    <w:name w:val="Pieczątka 1"/>
    <w:basedOn w:val="Normalny"/>
    <w:qFormat/>
    <w:rsid w:val="00A12532"/>
    <w:pPr>
      <w:spacing w:after="0" w:line="240" w:lineRule="auto"/>
      <w:ind w:left="709" w:right="5103"/>
      <w:jc w:val="center"/>
    </w:pPr>
    <w:rPr>
      <w:rFonts w:ascii="Arial Black" w:hAnsi="Arial Black" w:cs="Aharoni"/>
      <w:b/>
      <w:sz w:val="22"/>
      <w:szCs w:val="20"/>
    </w:rPr>
  </w:style>
  <w:style w:type="paragraph" w:customStyle="1" w:styleId="Piecztka2">
    <w:name w:val="Pieczątka 2"/>
    <w:basedOn w:val="Normalny"/>
    <w:qFormat/>
    <w:rsid w:val="00A12532"/>
    <w:pPr>
      <w:spacing w:after="0" w:line="240" w:lineRule="auto"/>
      <w:ind w:left="709" w:right="5103"/>
      <w:jc w:val="center"/>
    </w:pPr>
    <w:rPr>
      <w:i/>
      <w:sz w:val="22"/>
      <w:szCs w:val="20"/>
    </w:rPr>
  </w:style>
  <w:style w:type="paragraph" w:customStyle="1" w:styleId="Adresat">
    <w:name w:val="Adresat"/>
    <w:basedOn w:val="Normalny"/>
    <w:qFormat/>
    <w:rsid w:val="00A12532"/>
    <w:pPr>
      <w:spacing w:after="720" w:line="240" w:lineRule="auto"/>
      <w:ind w:left="4820"/>
      <w:contextualSpacing/>
    </w:pPr>
    <w:rPr>
      <w:sz w:val="28"/>
      <w:szCs w:val="28"/>
    </w:rPr>
  </w:style>
  <w:style w:type="paragraph" w:customStyle="1" w:styleId="Trepisma">
    <w:name w:val="Treść pisma"/>
    <w:basedOn w:val="Normalny"/>
    <w:qFormat/>
    <w:rsid w:val="00A12532"/>
    <w:pPr>
      <w:spacing w:after="240" w:line="240" w:lineRule="auto"/>
      <w:ind w:left="709"/>
      <w:contextualSpacing/>
      <w:jc w:val="both"/>
    </w:pPr>
  </w:style>
  <w:style w:type="paragraph" w:customStyle="1" w:styleId="Stanowisko">
    <w:name w:val="Stanowisko"/>
    <w:basedOn w:val="Normalny"/>
    <w:qFormat/>
    <w:rsid w:val="00A12532"/>
    <w:pPr>
      <w:spacing w:before="560" w:after="560" w:line="240" w:lineRule="auto"/>
      <w:ind w:left="5103"/>
      <w:jc w:val="center"/>
    </w:pPr>
  </w:style>
  <w:style w:type="paragraph" w:customStyle="1" w:styleId="Imiinazwisko">
    <w:name w:val="Imię i nazwisko"/>
    <w:basedOn w:val="Normalny"/>
    <w:qFormat/>
    <w:rsid w:val="00A12532"/>
    <w:pPr>
      <w:ind w:left="5103"/>
      <w:contextualSpacing/>
      <w:jc w:val="center"/>
    </w:pPr>
  </w:style>
  <w:style w:type="paragraph" w:customStyle="1" w:styleId="Znaksprawy">
    <w:name w:val="Znak sprawy"/>
    <w:basedOn w:val="Normalny"/>
    <w:qFormat/>
    <w:rsid w:val="00A12532"/>
    <w:pPr>
      <w:spacing w:before="240" w:after="400" w:line="240" w:lineRule="auto"/>
      <w:ind w:left="709"/>
    </w:pPr>
  </w:style>
  <w:style w:type="paragraph" w:styleId="Nagwek">
    <w:name w:val="header"/>
    <w:basedOn w:val="Normalny"/>
    <w:link w:val="NagwekZnak"/>
    <w:uiPriority w:val="99"/>
    <w:unhideWhenUsed/>
    <w:rsid w:val="00A125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2532"/>
    <w:rPr>
      <w:rFonts w:ascii="Arial" w:hAnsi="Arial"/>
      <w:sz w:val="24"/>
    </w:rPr>
  </w:style>
  <w:style w:type="paragraph" w:styleId="Stopka">
    <w:name w:val="footer"/>
    <w:basedOn w:val="Normalny"/>
    <w:link w:val="StopkaZnak"/>
    <w:uiPriority w:val="99"/>
    <w:unhideWhenUsed/>
    <w:rsid w:val="00A12532"/>
    <w:pPr>
      <w:tabs>
        <w:tab w:val="center" w:pos="4536"/>
        <w:tab w:val="right" w:pos="9072"/>
      </w:tabs>
      <w:spacing w:after="0" w:line="240" w:lineRule="auto"/>
      <w:jc w:val="right"/>
    </w:pPr>
    <w:rPr>
      <w:rFonts w:asciiTheme="minorHAnsi" w:eastAsiaTheme="majorEastAsia" w:hAnsiTheme="minorHAnsi" w:cstheme="majorBidi"/>
      <w:szCs w:val="24"/>
    </w:rPr>
  </w:style>
  <w:style w:type="character" w:customStyle="1" w:styleId="StopkaZnak">
    <w:name w:val="Stopka Znak"/>
    <w:basedOn w:val="Domylnaczcionkaakapitu"/>
    <w:link w:val="Stopka"/>
    <w:uiPriority w:val="99"/>
    <w:rsid w:val="00A12532"/>
    <w:rPr>
      <w:rFonts w:eastAsiaTheme="majorEastAsia" w:cstheme="majorBidi"/>
      <w:sz w:val="24"/>
      <w:szCs w:val="24"/>
    </w:rPr>
  </w:style>
  <w:style w:type="paragraph" w:customStyle="1" w:styleId="Kocwka">
    <w:name w:val="Końcówka"/>
    <w:basedOn w:val="Normalny"/>
    <w:qFormat/>
    <w:rsid w:val="00A12532"/>
    <w:rPr>
      <w:sz w:val="2"/>
    </w:rPr>
  </w:style>
  <w:style w:type="paragraph" w:customStyle="1" w:styleId="PodpElektr">
    <w:name w:val="PodpElektr"/>
    <w:basedOn w:val="Imiinazwisko"/>
    <w:qFormat/>
    <w:rsid w:val="00A12532"/>
    <w:pPr>
      <w:spacing w:after="0"/>
    </w:pPr>
    <w:rPr>
      <w:sz w:val="16"/>
      <w:szCs w:val="16"/>
    </w:rPr>
  </w:style>
  <w:style w:type="character" w:styleId="Odwoanieprzypisudolnego">
    <w:name w:val="footnote reference"/>
    <w:basedOn w:val="Domylnaczcionkaakapitu"/>
    <w:uiPriority w:val="99"/>
    <w:semiHidden/>
    <w:unhideWhenUsed/>
    <w:rsid w:val="00A12532"/>
    <w:rPr>
      <w:vertAlign w:val="superscript"/>
    </w:rPr>
  </w:style>
  <w:style w:type="paragraph" w:styleId="Tekstprzypisudolnego">
    <w:name w:val="footnote text"/>
    <w:basedOn w:val="Normalny"/>
    <w:link w:val="TekstprzypisudolnegoZnak"/>
    <w:uiPriority w:val="99"/>
    <w:unhideWhenUsed/>
    <w:rsid w:val="00A1253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12532"/>
    <w:rPr>
      <w:rFonts w:ascii="Arial" w:hAnsi="Arial"/>
      <w:sz w:val="20"/>
      <w:szCs w:val="20"/>
    </w:rPr>
  </w:style>
  <w:style w:type="paragraph" w:styleId="Akapitzlist">
    <w:name w:val="List Paragraph"/>
    <w:basedOn w:val="Normalny"/>
    <w:uiPriority w:val="34"/>
    <w:qFormat/>
    <w:rsid w:val="00A12532"/>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5601</Words>
  <Characters>33611</Characters>
  <Application>Microsoft Office Word</Application>
  <DocSecurity>4</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Kudyba Magdalena</dc:creator>
  <cp:keywords/>
  <dc:description/>
  <cp:lastModifiedBy>Jarzębska Monika</cp:lastModifiedBy>
  <cp:revision>2</cp:revision>
  <dcterms:created xsi:type="dcterms:W3CDTF">2021-07-01T12:59:00Z</dcterms:created>
  <dcterms:modified xsi:type="dcterms:W3CDTF">2021-07-01T12:59:00Z</dcterms:modified>
</cp:coreProperties>
</file>