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2E" w:rsidRPr="007C432E" w:rsidRDefault="007C432E" w:rsidP="007C432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 w:bidi="pl-PL"/>
        </w:rPr>
      </w:pPr>
      <w:bookmarkStart w:id="0" w:name="_GoBack"/>
      <w:bookmarkEnd w:id="0"/>
      <w:r w:rsidRPr="007C432E">
        <w:rPr>
          <w:rFonts w:ascii="Times New Roman" w:eastAsia="Times New Roman" w:hAnsi="Times New Roman" w:cs="Times New Roman"/>
          <w:b/>
          <w:szCs w:val="20"/>
          <w:lang w:eastAsia="pl-PL" w:bidi="pl-PL"/>
        </w:rPr>
        <w:t>Uzasadnienie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7C432E">
        <w:rPr>
          <w:rFonts w:ascii="Times New Roman" w:eastAsia="Times New Roman" w:hAnsi="Times New Roman" w:cs="Times New Roman"/>
          <w:szCs w:val="20"/>
          <w:lang w:eastAsia="pl-PL" w:bidi="pl-PL"/>
        </w:rPr>
        <w:t>Na podstawie art. 59 i art.59a ust. 1 ustawy z dnia 27 sierpnia 2009 r. o finansach publicznych (Dz. U. z 2019 r., poz.869 ze zm.) przygotowano niniejszy projekt uchwały regulujący kwestie zasad, sposobu i trybu udzielania ulg w spłacie oraz niedochodzeniu należności pieniężnych o charakterze cywilnoprawnym.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7C432E">
        <w:rPr>
          <w:rFonts w:ascii="Times New Roman" w:eastAsia="Times New Roman" w:hAnsi="Times New Roman" w:cs="Times New Roman"/>
          <w:szCs w:val="20"/>
          <w:lang w:eastAsia="pl-PL" w:bidi="pl-PL"/>
        </w:rPr>
        <w:t>Aktualnie obowiązuje do 31 grudnia 2020 r. uchwała Rady Miasta Piotrkowa Trybunalskiego Nr XL/503/17 z dnia 28 czerwca 2017 r. w sprawie szczegółowych zasad, sposobu i trybu udzielania ulg w spłacie oraz niedochodzeniu należności pieniężnych, mających charakter cywilnoprawny, przypadających Miastu Piotrków Trybunalski lub jego jednostkom organizacyjnym (Dz. Urz. Woj. Łódz. 2017.3314), zmieniona Uchwałą Rady Miasta Piotrkowa Trybunalskiego Nr XLV/558/17 z dnia 27 września 2017 r. (Dz. Urz. Woj. Łódz. 2017.4294) oraz Uchwałą Rady Miasta Piotrkowa Trybunalskiego Nr XIX/303/20 z dnia 29 kwietnia 2020 r. (Dz. Urz. Woj. Łódz. 2020.2886).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7C432E">
        <w:rPr>
          <w:rFonts w:ascii="Times New Roman" w:eastAsia="Times New Roman" w:hAnsi="Times New Roman" w:cs="Times New Roman"/>
          <w:szCs w:val="20"/>
          <w:lang w:eastAsia="pl-PL" w:bidi="pl-PL"/>
        </w:rPr>
        <w:t>Niniejszy projekt uchwały zawiera zapisy uchwały Nr XL/503/17 z dnia 28 czerwca 2017 r. zmienionej uchwałą Rady Miasta Piotrkowa Trybunalskiego Nr XLV/558/17 z dnia 27 września 2017 r., przy czym §§ 4 i 8 zostały dostosowane do zmian wprowadzonych w ustawie o przeciwdziałaniu nadmiernym opóźnieniom w transakcjach handlowych oraz ustawie o finansach publicznych i otrzymują brzmienie: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b/>
          <w:szCs w:val="20"/>
          <w:lang w:eastAsia="pl-PL" w:bidi="pl-PL"/>
        </w:rPr>
        <w:t>§ 4. </w:t>
      </w: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Na wniosek dłużnika, termin zapłaty należności pieniężnej mającej charakter cywilnoprawny, w całości lub w części może zostać odroczony lub płatność należności w całości lub w części może zostać rozłożona na raty, w przypadku uzasadnionym względami społecznymi lub gospodarczymi, w szczególności możliwościami płatniczymi dłużnika przy uwzględnieniu, że: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1)od wierzytelności wynikających ze stosunków cywilnoprawnych, których termin zapłaty odroczono lub których spłatę rozłożono na raty, pobiera się 50% zastrzeżonych w umowie odsetek umownych, a w przypadku braku ich zastrzeżenia: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a)50% odsetek ustawowych za opóźnienie w transakcjach handlowych, w przypadku gdy wierzytelność dotyczy przedsiębiorcy,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b)50% odsetek ustawowych za opóźnienie, w pozostałych przypadkach,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liczonych od dnia złożenia wniosku do dnia obowiązywania ulgi;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2) w przypadku niedotrzymania terminu spłaty odroczonych oraz rozłożonych na raty należności pieniężnych, odsetki pobiera się od pierwotnego terminu płatności w pełnej wysokości, do dnia dokonania wpłaty.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b/>
          <w:color w:val="000000"/>
          <w:szCs w:val="20"/>
          <w:u w:color="000000"/>
          <w:lang w:eastAsia="pl-PL" w:bidi="pl-PL"/>
        </w:rPr>
        <w:t>§ 8. </w:t>
      </w: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 xml:space="preserve">1. Prezydent Miasta, kierownicy jednostek organizacyjnych Miasta, dyrektorzy samorządowych instytucji kultury oraz Zarząd Towarzystwa Budownictwa Społecznego Spółka z o.o. nie dochodzą należności o charakterze cywilnoprawnym przypadających Miastu lub jednostkom budżetowym lub instytucjom kultury, których kwota wraz z odsetkami nie przekracza 100 zł, a w przypadku należności </w:t>
      </w: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lastRenderedPageBreak/>
        <w:t>z tytułu rekompensaty, o której mowa w art. 10 ust.1 pkt 1 ustawy z dnia 8 marca 2013 r. o przeciwdziałaniu nadmiernym opóźnieniom w transakcjach handlowych - jeżeli jej kwota jest równa świadczeniu pieniężnemu w rozumieniu tej ustawy albo większa od tego świadczenia.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2. Przepisu § 8 ust.1 nie stosuje się do należności powstałych w związku z realizacją: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1) zadań z zakresu administracji rządowej oraz innych zadań zleconych ustawami;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2) programów, projektów i zadań finansowanych z udziałem środków, o których mowa art. 5 ust. 1 pkt 2 i pkt 3 ustawy o finansach publicznych.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 xml:space="preserve">Przedmiotowy projekt uchwały będzie stanowił program pomocowy de minimis obowiązujący zgodnie z Rozporządzeniem Komisji (UE) nr 1407/2013 z dnia 18 grudnia 2013 r. </w:t>
      </w:r>
      <w:r w:rsidRPr="007C432E">
        <w:rPr>
          <w:rFonts w:ascii="Times New Roman" w:eastAsia="Times New Roman" w:hAnsi="Times New Roman" w:cs="Times New Roman"/>
          <w:b/>
          <w:color w:val="000000"/>
          <w:szCs w:val="20"/>
          <w:u w:color="000000"/>
          <w:lang w:eastAsia="pl-PL" w:bidi="pl-PL"/>
        </w:rPr>
        <w:t>do 31 grudnia 2023 r</w:t>
      </w: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 xml:space="preserve">. 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Skutek finansowy podjęcia proponowanego projektu uchwały jest trudny do oszacowania. Przyjmuje się, że zaproponowane zmiany nie będą miały istotnego znaczenia i będą porównywalne do danych z lat 2018-2020. W tym okresie kwota udzielonych ulg wyniosła ok. 187 tysięcy złotych.</w:t>
      </w:r>
    </w:p>
    <w:p w:rsidR="007C432E" w:rsidRPr="007C432E" w:rsidRDefault="007C432E" w:rsidP="007C432E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7C432E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Projekt tej uchwały został zgłoszony w dniu 20 października 2020 r. do Prezesa Urzędu Ochrony Konkurencji i Konsumentów i Ministra Rolnictwa i Rozwoju Wsi. Zarówno Prezes Urzędu Ochrony Konkurencji i Konsumentów i Minister Rolnictwa i Rozwoju Wsi może w ciągu 14 dni przedstawić ewentualne zastrzeżenia dotyczące przejrzystości zasad udzielania pomocy. Do dnia przedłożenia do procedowania  niniejszego projektu nie wpłynęły żadne zastrzeżenia ze strony Prezesa Urzędu Ochrony Konkurencji i Konsumentów i Ministra Rolnictwa i Rozwoju Wsi.</w:t>
      </w:r>
    </w:p>
    <w:p w:rsidR="00384ABF" w:rsidRDefault="00384ABF"/>
    <w:sectPr w:rsidR="00384ABF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0EAA">
      <w:pPr>
        <w:spacing w:after="0" w:line="240" w:lineRule="auto"/>
      </w:pPr>
      <w:r>
        <w:separator/>
      </w:r>
    </w:p>
  </w:endnote>
  <w:endnote w:type="continuationSeparator" w:id="0">
    <w:p w:rsidR="00000000" w:rsidRDefault="00F3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51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E51BA" w:rsidRDefault="007C432E">
          <w:pPr>
            <w:rPr>
              <w:sz w:val="18"/>
            </w:rPr>
          </w:pPr>
          <w:r>
            <w:rPr>
              <w:sz w:val="18"/>
            </w:rPr>
            <w:t>Id: 84D32FC5-9E39-46C5-AF44-4B64658FF32C.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E51BA" w:rsidRDefault="007C43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30EA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E51BA" w:rsidRDefault="00F30E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0EAA">
      <w:pPr>
        <w:spacing w:after="0" w:line="240" w:lineRule="auto"/>
      </w:pPr>
      <w:r>
        <w:separator/>
      </w:r>
    </w:p>
  </w:footnote>
  <w:footnote w:type="continuationSeparator" w:id="0">
    <w:p w:rsidR="00000000" w:rsidRDefault="00F3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2E"/>
    <w:rsid w:val="00384ABF"/>
    <w:rsid w:val="007C432E"/>
    <w:rsid w:val="00F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F717F-899D-43A7-B682-F1CC139A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Iwona</dc:creator>
  <cp:keywords/>
  <dc:description/>
  <cp:lastModifiedBy>Jarzębska Monika</cp:lastModifiedBy>
  <cp:revision>2</cp:revision>
  <dcterms:created xsi:type="dcterms:W3CDTF">2020-11-18T12:48:00Z</dcterms:created>
  <dcterms:modified xsi:type="dcterms:W3CDTF">2020-11-18T12:48:00Z</dcterms:modified>
</cp:coreProperties>
</file>