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BD9" w:rsidRPr="00D50BD9" w:rsidRDefault="00D50BD9" w:rsidP="00D50BD9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50BD9">
        <w:rPr>
          <w:rFonts w:ascii="Arial" w:hAnsi="Arial" w:cs="Arial"/>
          <w:sz w:val="24"/>
          <w:szCs w:val="24"/>
        </w:rPr>
        <w:t>Odpowiedź na interpelację Radnego</w:t>
      </w:r>
    </w:p>
    <w:p w:rsidR="00D50BD9" w:rsidRPr="00D50BD9" w:rsidRDefault="00D50BD9" w:rsidP="00D50BD9">
      <w:pPr>
        <w:spacing w:line="360" w:lineRule="auto"/>
        <w:rPr>
          <w:rFonts w:ascii="Arial" w:hAnsi="Arial" w:cs="Arial"/>
          <w:sz w:val="24"/>
          <w:szCs w:val="24"/>
        </w:rPr>
      </w:pPr>
      <w:r w:rsidRPr="00D50BD9">
        <w:rPr>
          <w:rFonts w:ascii="Arial" w:hAnsi="Arial" w:cs="Arial"/>
          <w:sz w:val="24"/>
          <w:szCs w:val="24"/>
        </w:rPr>
        <w:t>Interpelacja Radnego Rady Miasta Piotrkowa Trybunalskiego – Jana Dziemdziory</w:t>
      </w:r>
    </w:p>
    <w:p w:rsidR="00D50BD9" w:rsidRPr="00D50BD9" w:rsidRDefault="00D50BD9" w:rsidP="00D50BD9">
      <w:pPr>
        <w:spacing w:line="360" w:lineRule="auto"/>
        <w:rPr>
          <w:rFonts w:ascii="Arial" w:hAnsi="Arial" w:cs="Arial"/>
          <w:sz w:val="24"/>
          <w:szCs w:val="24"/>
        </w:rPr>
      </w:pPr>
      <w:r w:rsidRPr="00D50BD9">
        <w:rPr>
          <w:rFonts w:ascii="Arial" w:hAnsi="Arial" w:cs="Arial"/>
          <w:sz w:val="24"/>
          <w:szCs w:val="24"/>
        </w:rPr>
        <w:t>z dnia 27.04.2023 r.</w:t>
      </w:r>
    </w:p>
    <w:p w:rsidR="00D50BD9" w:rsidRPr="00D50BD9" w:rsidRDefault="00D50BD9" w:rsidP="00D50BD9">
      <w:pPr>
        <w:spacing w:line="360" w:lineRule="auto"/>
        <w:rPr>
          <w:rFonts w:ascii="Arial" w:hAnsi="Arial" w:cs="Arial"/>
          <w:sz w:val="24"/>
          <w:szCs w:val="24"/>
        </w:rPr>
      </w:pPr>
      <w:r w:rsidRPr="00D50BD9">
        <w:rPr>
          <w:rFonts w:ascii="Arial" w:hAnsi="Arial" w:cs="Arial"/>
          <w:sz w:val="24"/>
          <w:szCs w:val="24"/>
        </w:rPr>
        <w:t>Tytuł interpelacji: w sprawie: Karta Dużej Rodziny a zwolnienia z opłat za odbiór</w:t>
      </w:r>
    </w:p>
    <w:p w:rsidR="00D50BD9" w:rsidRPr="00D50BD9" w:rsidRDefault="00D50BD9" w:rsidP="00D50BD9">
      <w:pPr>
        <w:spacing w:line="360" w:lineRule="auto"/>
        <w:rPr>
          <w:rFonts w:ascii="Arial" w:hAnsi="Arial" w:cs="Arial"/>
          <w:sz w:val="24"/>
          <w:szCs w:val="24"/>
        </w:rPr>
      </w:pPr>
      <w:r w:rsidRPr="00D50BD9">
        <w:rPr>
          <w:rFonts w:ascii="Arial" w:hAnsi="Arial" w:cs="Arial"/>
          <w:sz w:val="24"/>
          <w:szCs w:val="24"/>
        </w:rPr>
        <w:t>odpadów komunalnych.</w:t>
      </w:r>
    </w:p>
    <w:p w:rsidR="00D50BD9" w:rsidRPr="00D50BD9" w:rsidRDefault="00D50BD9" w:rsidP="00A74E3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50BD9">
        <w:rPr>
          <w:rFonts w:ascii="Arial" w:hAnsi="Arial" w:cs="Arial"/>
          <w:sz w:val="24"/>
          <w:szCs w:val="24"/>
        </w:rPr>
        <w:t>Treść odpowiedzi: Referat Gospodarowania Odpadami Komunalnymi informuje, że</w:t>
      </w:r>
    </w:p>
    <w:p w:rsidR="00D50BD9" w:rsidRPr="00D50BD9" w:rsidRDefault="00D50BD9" w:rsidP="00A74E3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50BD9">
        <w:rPr>
          <w:rFonts w:ascii="Arial" w:hAnsi="Arial" w:cs="Arial"/>
          <w:sz w:val="24"/>
          <w:szCs w:val="24"/>
        </w:rPr>
        <w:t>w kwestii zwolnienia w części opłaty za gospodarowanie odpadami komunalnymi</w:t>
      </w:r>
    </w:p>
    <w:p w:rsidR="00D50BD9" w:rsidRPr="00D50BD9" w:rsidRDefault="00D50BD9" w:rsidP="00A74E3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50BD9">
        <w:rPr>
          <w:rFonts w:ascii="Arial" w:hAnsi="Arial" w:cs="Arial"/>
          <w:sz w:val="24"/>
          <w:szCs w:val="24"/>
        </w:rPr>
        <w:t>właścicieli nieruchomości posiadających kompostownik, art. 4a ww. ustawy wskazuje,</w:t>
      </w:r>
      <w:r>
        <w:rPr>
          <w:rFonts w:ascii="Arial" w:hAnsi="Arial" w:cs="Arial"/>
          <w:sz w:val="24"/>
          <w:szCs w:val="24"/>
        </w:rPr>
        <w:t xml:space="preserve"> </w:t>
      </w:r>
      <w:r w:rsidRPr="00D50BD9">
        <w:rPr>
          <w:rFonts w:ascii="Arial" w:hAnsi="Arial" w:cs="Arial"/>
          <w:sz w:val="24"/>
          <w:szCs w:val="24"/>
        </w:rPr>
        <w:t>że Rada gminy w drodze uchwały zwalnia w części opłaty w ww. przypadku. Podjęcie</w:t>
      </w:r>
      <w:r>
        <w:rPr>
          <w:rFonts w:ascii="Arial" w:hAnsi="Arial" w:cs="Arial"/>
          <w:sz w:val="24"/>
          <w:szCs w:val="24"/>
        </w:rPr>
        <w:t xml:space="preserve"> </w:t>
      </w:r>
      <w:r w:rsidRPr="00D50BD9">
        <w:rPr>
          <w:rFonts w:ascii="Arial" w:hAnsi="Arial" w:cs="Arial"/>
          <w:sz w:val="24"/>
          <w:szCs w:val="24"/>
        </w:rPr>
        <w:t>takiej uchwały wynikało z przepisów prawa i było obligatoryjne.</w:t>
      </w:r>
    </w:p>
    <w:p w:rsidR="00D50BD9" w:rsidRPr="00D50BD9" w:rsidRDefault="00D50BD9" w:rsidP="00A74E3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50BD9">
        <w:rPr>
          <w:rFonts w:ascii="Arial" w:hAnsi="Arial" w:cs="Arial"/>
          <w:sz w:val="24"/>
          <w:szCs w:val="24"/>
        </w:rPr>
        <w:t>W kwestii zwolnienia w całości lub w części opłaty za gospodarowanie</w:t>
      </w:r>
    </w:p>
    <w:p w:rsidR="00D50BD9" w:rsidRPr="00D50BD9" w:rsidRDefault="00D50BD9" w:rsidP="00A74E3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50BD9">
        <w:rPr>
          <w:rFonts w:ascii="Arial" w:hAnsi="Arial" w:cs="Arial"/>
          <w:sz w:val="24"/>
          <w:szCs w:val="24"/>
        </w:rPr>
        <w:t>odpadami komunalnymi rodziny wielodzietne o których mowa w ustawie o Karcie</w:t>
      </w:r>
    </w:p>
    <w:p w:rsidR="00D50BD9" w:rsidRPr="00D50BD9" w:rsidRDefault="00D50BD9" w:rsidP="00A74E3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50BD9">
        <w:rPr>
          <w:rFonts w:ascii="Arial" w:hAnsi="Arial" w:cs="Arial"/>
          <w:sz w:val="24"/>
          <w:szCs w:val="24"/>
        </w:rPr>
        <w:t>Dużej Rodziny, art. 4 wskazuje, że Rada gminy może zwolnić z opłaty w ww.</w:t>
      </w:r>
    </w:p>
    <w:p w:rsidR="00D50BD9" w:rsidRPr="00D50BD9" w:rsidRDefault="00D50BD9" w:rsidP="00A74E3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50BD9">
        <w:rPr>
          <w:rFonts w:ascii="Arial" w:hAnsi="Arial" w:cs="Arial"/>
          <w:sz w:val="24"/>
          <w:szCs w:val="24"/>
        </w:rPr>
        <w:t>przypadku.</w:t>
      </w:r>
    </w:p>
    <w:p w:rsidR="00D50BD9" w:rsidRPr="00D50BD9" w:rsidRDefault="00D50BD9" w:rsidP="00A74E3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50BD9">
        <w:rPr>
          <w:rFonts w:ascii="Arial" w:hAnsi="Arial" w:cs="Arial"/>
          <w:sz w:val="24"/>
          <w:szCs w:val="24"/>
        </w:rPr>
        <w:t>Należy zaznaczyć że obecny system gospodarowania odpadami komunalnymi</w:t>
      </w:r>
    </w:p>
    <w:p w:rsidR="00D50BD9" w:rsidRPr="00D50BD9" w:rsidRDefault="00D50BD9" w:rsidP="00A74E3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50BD9">
        <w:rPr>
          <w:rFonts w:ascii="Arial" w:hAnsi="Arial" w:cs="Arial"/>
          <w:sz w:val="24"/>
          <w:szCs w:val="24"/>
        </w:rPr>
        <w:t>w Piotrkowie Trybunalskim samofinansuje się. Wprowadzenie dodatkowych zwolnień,</w:t>
      </w:r>
      <w:r>
        <w:rPr>
          <w:rFonts w:ascii="Arial" w:hAnsi="Arial" w:cs="Arial"/>
          <w:sz w:val="24"/>
          <w:szCs w:val="24"/>
        </w:rPr>
        <w:t xml:space="preserve"> </w:t>
      </w:r>
      <w:r w:rsidRPr="00D50BD9">
        <w:rPr>
          <w:rFonts w:ascii="Arial" w:hAnsi="Arial" w:cs="Arial"/>
          <w:sz w:val="24"/>
          <w:szCs w:val="24"/>
        </w:rPr>
        <w:t>w części opłaty za gospodarowanie odpadami komunalnymi, może wiązać się</w:t>
      </w:r>
      <w:r>
        <w:rPr>
          <w:rFonts w:ascii="Arial" w:hAnsi="Arial" w:cs="Arial"/>
          <w:sz w:val="24"/>
          <w:szCs w:val="24"/>
        </w:rPr>
        <w:t xml:space="preserve"> </w:t>
      </w:r>
      <w:r w:rsidRPr="00D50BD9">
        <w:rPr>
          <w:rFonts w:ascii="Arial" w:hAnsi="Arial" w:cs="Arial"/>
          <w:sz w:val="24"/>
          <w:szCs w:val="24"/>
        </w:rPr>
        <w:t>z koniecznością podniesienia stawki za odbiór i zagospodarowanie odpadami</w:t>
      </w:r>
    </w:p>
    <w:p w:rsidR="00D50BD9" w:rsidRPr="00D50BD9" w:rsidRDefault="00D50BD9" w:rsidP="00A74E3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50BD9">
        <w:rPr>
          <w:rFonts w:ascii="Arial" w:hAnsi="Arial" w:cs="Arial"/>
          <w:sz w:val="24"/>
          <w:szCs w:val="24"/>
        </w:rPr>
        <w:t>komunalnymi dla pozostałych mieszkańców miasta.</w:t>
      </w:r>
    </w:p>
    <w:p w:rsidR="00D50BD9" w:rsidRPr="00D50BD9" w:rsidRDefault="00D50BD9" w:rsidP="00A74E3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50BD9">
        <w:rPr>
          <w:rFonts w:ascii="Arial" w:hAnsi="Arial" w:cs="Arial"/>
          <w:sz w:val="24"/>
          <w:szCs w:val="24"/>
        </w:rPr>
        <w:t>W związku z powyższym do Miejskiego Ośrodka Pomocy Rodzinie w Piotrkowie</w:t>
      </w:r>
    </w:p>
    <w:p w:rsidR="00D50BD9" w:rsidRPr="00D50BD9" w:rsidRDefault="00D50BD9" w:rsidP="00A74E3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50BD9">
        <w:rPr>
          <w:rFonts w:ascii="Arial" w:hAnsi="Arial" w:cs="Arial"/>
          <w:sz w:val="24"/>
          <w:szCs w:val="24"/>
        </w:rPr>
        <w:t>Trybunalskim wysłano pismo z zapytaniem, ile osób ma przyznaną Kartę Dużej</w:t>
      </w:r>
    </w:p>
    <w:p w:rsidR="00D50BD9" w:rsidRPr="00D50BD9" w:rsidRDefault="00D50BD9" w:rsidP="00A74E3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50BD9">
        <w:rPr>
          <w:rFonts w:ascii="Arial" w:hAnsi="Arial" w:cs="Arial"/>
          <w:sz w:val="24"/>
          <w:szCs w:val="24"/>
        </w:rPr>
        <w:t>Rodziny o której mowa w Ustawie z dnia 5 grudnia 2014 roku o Karcie Dużej Rodziny.</w:t>
      </w:r>
    </w:p>
    <w:p w:rsidR="00D50BD9" w:rsidRPr="00D50BD9" w:rsidRDefault="00D50BD9" w:rsidP="00A74E3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50BD9">
        <w:rPr>
          <w:rFonts w:ascii="Arial" w:hAnsi="Arial" w:cs="Arial"/>
          <w:sz w:val="24"/>
          <w:szCs w:val="24"/>
        </w:rPr>
        <w:t>Po uzyskaniu odpowiedzi z MOPR sprawa ewentualnego wprowadzenia dodatkowej</w:t>
      </w:r>
    </w:p>
    <w:p w:rsidR="00D50BD9" w:rsidRPr="00D50BD9" w:rsidRDefault="00D50BD9" w:rsidP="00A74E3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50BD9">
        <w:rPr>
          <w:rFonts w:ascii="Arial" w:hAnsi="Arial" w:cs="Arial"/>
          <w:sz w:val="24"/>
          <w:szCs w:val="24"/>
        </w:rPr>
        <w:t>ulgi zostanie poddana dokładnej analizie.</w:t>
      </w:r>
    </w:p>
    <w:p w:rsidR="00D50BD9" w:rsidRPr="00D50BD9" w:rsidRDefault="00D50BD9" w:rsidP="00D50BD9">
      <w:pPr>
        <w:spacing w:line="360" w:lineRule="auto"/>
        <w:rPr>
          <w:rFonts w:ascii="Arial" w:hAnsi="Arial" w:cs="Arial"/>
          <w:sz w:val="24"/>
          <w:szCs w:val="24"/>
        </w:rPr>
      </w:pPr>
      <w:r w:rsidRPr="00D50BD9">
        <w:rPr>
          <w:rFonts w:ascii="Arial" w:hAnsi="Arial" w:cs="Arial"/>
          <w:sz w:val="24"/>
          <w:szCs w:val="24"/>
        </w:rPr>
        <w:t xml:space="preserve"> </w:t>
      </w:r>
    </w:p>
    <w:p w:rsidR="00D50BD9" w:rsidRPr="00D50BD9" w:rsidRDefault="00D50BD9" w:rsidP="00D50BD9">
      <w:pPr>
        <w:spacing w:line="360" w:lineRule="auto"/>
        <w:rPr>
          <w:rFonts w:ascii="Arial" w:hAnsi="Arial" w:cs="Arial"/>
          <w:sz w:val="24"/>
          <w:szCs w:val="24"/>
        </w:rPr>
      </w:pPr>
      <w:r w:rsidRPr="00D50BD9">
        <w:rPr>
          <w:rFonts w:ascii="Arial" w:hAnsi="Arial" w:cs="Arial"/>
          <w:sz w:val="24"/>
          <w:szCs w:val="24"/>
        </w:rPr>
        <w:t xml:space="preserve"> </w:t>
      </w:r>
    </w:p>
    <w:p w:rsidR="00D50BD9" w:rsidRPr="00D50BD9" w:rsidRDefault="00D50BD9" w:rsidP="00D50BD9">
      <w:pPr>
        <w:spacing w:line="360" w:lineRule="auto"/>
        <w:rPr>
          <w:rFonts w:ascii="Arial" w:hAnsi="Arial" w:cs="Arial"/>
          <w:sz w:val="24"/>
          <w:szCs w:val="24"/>
        </w:rPr>
      </w:pPr>
      <w:r w:rsidRPr="00D50BD9">
        <w:rPr>
          <w:rFonts w:ascii="Arial" w:hAnsi="Arial" w:cs="Arial"/>
          <w:sz w:val="24"/>
          <w:szCs w:val="24"/>
        </w:rPr>
        <w:t>ADAM KARZEWNIK</w:t>
      </w:r>
    </w:p>
    <w:p w:rsidR="00D50BD9" w:rsidRPr="00D50BD9" w:rsidRDefault="00D50BD9" w:rsidP="00D50BD9">
      <w:pPr>
        <w:spacing w:line="360" w:lineRule="auto"/>
        <w:rPr>
          <w:rFonts w:ascii="Arial" w:hAnsi="Arial" w:cs="Arial"/>
          <w:sz w:val="24"/>
          <w:szCs w:val="24"/>
        </w:rPr>
      </w:pPr>
      <w:r w:rsidRPr="00D50BD9">
        <w:rPr>
          <w:rFonts w:ascii="Arial" w:hAnsi="Arial" w:cs="Arial"/>
          <w:sz w:val="24"/>
          <w:szCs w:val="24"/>
        </w:rPr>
        <w:t>……………………………………………………..</w:t>
      </w:r>
    </w:p>
    <w:p w:rsidR="00D50BD9" w:rsidRPr="00D50BD9" w:rsidRDefault="00D50BD9" w:rsidP="00D50BD9">
      <w:pPr>
        <w:spacing w:line="360" w:lineRule="auto"/>
        <w:rPr>
          <w:rFonts w:ascii="Arial" w:hAnsi="Arial" w:cs="Arial"/>
          <w:sz w:val="24"/>
          <w:szCs w:val="24"/>
        </w:rPr>
      </w:pPr>
      <w:r w:rsidRPr="00D50BD9">
        <w:rPr>
          <w:rFonts w:ascii="Arial" w:hAnsi="Arial" w:cs="Arial"/>
          <w:sz w:val="24"/>
          <w:szCs w:val="24"/>
        </w:rPr>
        <w:t>Podpis Wiceprezydenta/Sekretarza/Skarbnika</w:t>
      </w:r>
    </w:p>
    <w:p w:rsidR="00D50BD9" w:rsidRPr="00D50BD9" w:rsidRDefault="00D50BD9" w:rsidP="00D50BD9">
      <w:pPr>
        <w:spacing w:line="360" w:lineRule="auto"/>
        <w:rPr>
          <w:rFonts w:ascii="Arial" w:hAnsi="Arial" w:cs="Arial"/>
          <w:sz w:val="24"/>
          <w:szCs w:val="24"/>
        </w:rPr>
      </w:pPr>
      <w:r w:rsidRPr="00D50BD9">
        <w:rPr>
          <w:rFonts w:ascii="Arial" w:hAnsi="Arial" w:cs="Arial"/>
          <w:sz w:val="24"/>
          <w:szCs w:val="24"/>
        </w:rPr>
        <w:lastRenderedPageBreak/>
        <w:t>DOROTA KOSTERSKA</w:t>
      </w:r>
    </w:p>
    <w:p w:rsidR="00D50BD9" w:rsidRPr="00D50BD9" w:rsidRDefault="00D50BD9" w:rsidP="00D50BD9">
      <w:pPr>
        <w:spacing w:line="360" w:lineRule="auto"/>
        <w:rPr>
          <w:rFonts w:ascii="Arial" w:hAnsi="Arial" w:cs="Arial"/>
          <w:sz w:val="24"/>
          <w:szCs w:val="24"/>
        </w:rPr>
      </w:pPr>
      <w:r w:rsidRPr="00D50BD9">
        <w:rPr>
          <w:rFonts w:ascii="Arial" w:hAnsi="Arial" w:cs="Arial"/>
          <w:sz w:val="24"/>
          <w:szCs w:val="24"/>
        </w:rPr>
        <w:t>…………………………………………..</w:t>
      </w:r>
    </w:p>
    <w:p w:rsidR="00457A5A" w:rsidRPr="00D50BD9" w:rsidRDefault="00D50BD9" w:rsidP="00D50BD9">
      <w:pPr>
        <w:spacing w:line="360" w:lineRule="auto"/>
        <w:rPr>
          <w:rFonts w:ascii="Arial" w:hAnsi="Arial" w:cs="Arial"/>
          <w:sz w:val="24"/>
          <w:szCs w:val="24"/>
        </w:rPr>
      </w:pPr>
      <w:r w:rsidRPr="00D50BD9">
        <w:rPr>
          <w:rFonts w:ascii="Arial" w:hAnsi="Arial" w:cs="Arial"/>
          <w:sz w:val="24"/>
          <w:szCs w:val="24"/>
        </w:rPr>
        <w:t>Akceptacja kierownika komórki organizacyjn</w:t>
      </w:r>
      <w:r>
        <w:rPr>
          <w:rFonts w:ascii="Arial" w:hAnsi="Arial" w:cs="Arial"/>
          <w:sz w:val="24"/>
          <w:szCs w:val="24"/>
        </w:rPr>
        <w:t>ej</w:t>
      </w:r>
    </w:p>
    <w:sectPr w:rsidR="00457A5A" w:rsidRPr="00D50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4A7E02F1-A351-40AC-AC09-3994E0D4F5C8}"/>
  </w:docVars>
  <w:rsids>
    <w:rsidRoot w:val="00D50BD9"/>
    <w:rsid w:val="00317168"/>
    <w:rsid w:val="0032374A"/>
    <w:rsid w:val="00457A5A"/>
    <w:rsid w:val="00A74E36"/>
    <w:rsid w:val="00D5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A44A7-2C1D-4166-A895-CCB6D87D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A7E02F1-A351-40AC-AC09-3994E0D4F5C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1460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Budkowska Paulina</cp:lastModifiedBy>
  <cp:revision>2</cp:revision>
  <dcterms:created xsi:type="dcterms:W3CDTF">2023-05-15T11:35:00Z</dcterms:created>
  <dcterms:modified xsi:type="dcterms:W3CDTF">2023-05-15T11:35:00Z</dcterms:modified>
</cp:coreProperties>
</file>