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5796" w14:textId="77777777" w:rsidR="00E72FD3" w:rsidRDefault="00276FDE" w:rsidP="00276FDE">
      <w:pPr>
        <w:spacing w:after="903" w:line="259" w:lineRule="auto"/>
        <w:ind w:left="94" w:firstLine="0"/>
      </w:pPr>
      <w:bookmarkStart w:id="0" w:name="_GoBack"/>
      <w:bookmarkEnd w:id="0"/>
      <w:r>
        <w:rPr>
          <w:sz w:val="28"/>
        </w:rPr>
        <w:t>Odpowiedź na zapytanie Radnego/Radnej</w:t>
      </w:r>
    </w:p>
    <w:p w14:paraId="5FDBEB82" w14:textId="77777777" w:rsidR="00E72FD3" w:rsidRDefault="00276FDE">
      <w:pPr>
        <w:spacing w:after="248"/>
        <w:ind w:left="-5"/>
      </w:pPr>
      <w:r>
        <w:t>Zapytanie Dariusz Cecotka  z dnia  10.12.2023 r.</w:t>
      </w:r>
    </w:p>
    <w:p w14:paraId="12E6C826" w14:textId="77777777" w:rsidR="00E72FD3" w:rsidRDefault="00276FDE">
      <w:pPr>
        <w:spacing w:after="248"/>
        <w:ind w:left="-5"/>
      </w:pPr>
      <w:r>
        <w:t xml:space="preserve">Tytuł zapytania: </w:t>
      </w:r>
    </w:p>
    <w:p w14:paraId="3A991F30" w14:textId="77777777" w:rsidR="00E72FD3" w:rsidRDefault="00276FDE">
      <w:pPr>
        <w:spacing w:after="248"/>
        <w:ind w:left="-5"/>
      </w:pPr>
      <w:r>
        <w:t>Syreny alarmowe, systemy powiadomienia o zagrożeniu.</w:t>
      </w:r>
    </w:p>
    <w:p w14:paraId="1F4E55EC" w14:textId="77777777" w:rsidR="00E72FD3" w:rsidRDefault="00276FDE">
      <w:pPr>
        <w:spacing w:after="248"/>
        <w:ind w:left="-5"/>
      </w:pPr>
      <w:r>
        <w:t xml:space="preserve">Treść odpowiedzi: </w:t>
      </w:r>
    </w:p>
    <w:p w14:paraId="1B42FE47" w14:textId="77777777" w:rsidR="00E72FD3" w:rsidRDefault="00276FDE">
      <w:pPr>
        <w:spacing w:line="480" w:lineRule="auto"/>
        <w:ind w:left="-5" w:right="174"/>
      </w:pPr>
      <w:r>
        <w:t>Ad 1. W skład Miejskiego Systemu Ostrzegania i Alarmowania miasta Piotrkowa Trybunalskiego wchodzi 5 syren elektronicznych  wyposażonych w UPS, pozostałe syreny wirnikowe mechaniczne w ilości 19 nie są wyposażony w UPS. Ad 2. Wyniki ekspertyzy syreny nr 5 zlokalizowanej przy ul. Sulejowskiej 39 w załączeniu.</w:t>
      </w:r>
    </w:p>
    <w:p w14:paraId="74219E77" w14:textId="77777777" w:rsidR="00E72FD3" w:rsidRDefault="00276FDE">
      <w:pPr>
        <w:spacing w:after="248"/>
        <w:ind w:left="-5"/>
      </w:pPr>
      <w:r>
        <w:t xml:space="preserve">Ad 3. Na dzień dzisiejszy Miejski System Ostrzegania i Alarmowania miasta </w:t>
      </w:r>
    </w:p>
    <w:p w14:paraId="48C92FAB" w14:textId="77777777" w:rsidR="00E72FD3" w:rsidRDefault="00276FDE">
      <w:pPr>
        <w:spacing w:line="480" w:lineRule="auto"/>
        <w:ind w:left="-5"/>
      </w:pPr>
      <w:r>
        <w:t xml:space="preserve">Piotrkowa Trybunalskiego składa się z centrali sterującej 24-ema syrenami z czego  3 syreny alarmowe będące na stanie czasowo nie działają a 1 syrena jest zdemontowana. </w:t>
      </w:r>
    </w:p>
    <w:p w14:paraId="69369773" w14:textId="77777777" w:rsidR="00E72FD3" w:rsidRDefault="00276FDE">
      <w:pPr>
        <w:spacing w:line="480" w:lineRule="auto"/>
        <w:ind w:left="-5"/>
      </w:pPr>
      <w:r>
        <w:t xml:space="preserve">Ad.4 Urządzenia do radiowego sterowania oraz syreny alarmowe poddawane są corocznemu przeglądowi i wszelkie usterki są usuwane na bieżąco. Ostatni przegląd wykonany był w maju 2023 r. </w:t>
      </w:r>
    </w:p>
    <w:p w14:paraId="6E5CF8EE" w14:textId="77777777" w:rsidR="00E72FD3" w:rsidRDefault="00276FDE">
      <w:pPr>
        <w:spacing w:line="480" w:lineRule="auto"/>
        <w:ind w:left="-5"/>
      </w:pPr>
      <w:r>
        <w:t xml:space="preserve">Ad 5.Ostatnia awaria mechaniczna syreny alarmowej w Piotrkowie Trybunalskim, która miała miejsce w dniu 14.12.2022 r. poprzez samoczynne uruchomienie się sygnału alarmowego wykazała potrzebę modernizacji oprogramowania central sterujących w zakresie automatycznego oznaczania syreny na ekranie systemu. System nie oznacza urządzenia, które uruchomiło się samoczynnie w sposób mechaniczny na skutek awarii elektrycznej. W związku z powyższym Prezydent Miasta Piotrkowa Trybunalskiego wystąpił bezpośrednio po awarii syreny do </w:t>
      </w:r>
      <w:r>
        <w:lastRenderedPageBreak/>
        <w:t>Wojewody Łódzkiego z prośbą o modernizację oprogramowania centrali sterującej oraz o sukcesywną zamianę syren mechanicznych wirnikowych na nowe syreny elektroniczne, odpowiedź  w załączeniu.</w:t>
      </w:r>
    </w:p>
    <w:p w14:paraId="7FC6C0B6" w14:textId="77777777" w:rsidR="00E72FD3" w:rsidRDefault="00276FDE">
      <w:pPr>
        <w:spacing w:after="252" w:line="259" w:lineRule="auto"/>
        <w:ind w:left="2124" w:firstLine="0"/>
      </w:pPr>
      <w:r>
        <w:rPr>
          <w:sz w:val="22"/>
        </w:rPr>
        <w:t xml:space="preserve">      </w:t>
      </w:r>
    </w:p>
    <w:p w14:paraId="06DC08DF" w14:textId="77777777" w:rsidR="00E72FD3" w:rsidRDefault="00276FDE">
      <w:pPr>
        <w:spacing w:after="0" w:line="259" w:lineRule="auto"/>
        <w:ind w:left="0" w:right="83" w:firstLine="0"/>
        <w:jc w:val="center"/>
      </w:pPr>
      <w:r>
        <w:t xml:space="preserve">      </w:t>
      </w:r>
    </w:p>
    <w:p w14:paraId="187012F0" w14:textId="77777777" w:rsidR="00276FDE" w:rsidRPr="00276FDE" w:rsidRDefault="00276FDE" w:rsidP="00276FDE">
      <w:pPr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Cs w:val="24"/>
          <w14:ligatures w14:val="none"/>
        </w:rPr>
      </w:pPr>
      <w:r w:rsidRPr="00276FDE">
        <w:rPr>
          <w:rFonts w:eastAsia="Times New Roman"/>
          <w:color w:val="auto"/>
          <w:kern w:val="0"/>
          <w:szCs w:val="24"/>
          <w14:ligatures w14:val="none"/>
        </w:rPr>
        <w:t>Andrzej Kacperek</w:t>
      </w:r>
    </w:p>
    <w:p w14:paraId="1E93429A" w14:textId="77777777" w:rsidR="00276FDE" w:rsidRPr="00276FDE" w:rsidRDefault="00276FDE" w:rsidP="00276FDE">
      <w:pPr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Cs w:val="24"/>
          <w14:ligatures w14:val="none"/>
        </w:rPr>
      </w:pPr>
    </w:p>
    <w:p w14:paraId="126ED761" w14:textId="77777777" w:rsidR="00276FDE" w:rsidRPr="00276FDE" w:rsidRDefault="00276FDE" w:rsidP="00276FDE">
      <w:pPr>
        <w:spacing w:after="0" w:line="240" w:lineRule="auto"/>
        <w:ind w:left="0" w:firstLine="0"/>
        <w:jc w:val="both"/>
        <w:rPr>
          <w:rFonts w:eastAsia="Times New Roman"/>
          <w:color w:val="auto"/>
          <w:kern w:val="0"/>
          <w:szCs w:val="24"/>
          <w14:ligatures w14:val="none"/>
        </w:rPr>
      </w:pPr>
      <w:r w:rsidRPr="00276FDE">
        <w:rPr>
          <w:rFonts w:eastAsia="Times New Roman"/>
          <w:color w:val="auto"/>
          <w:kern w:val="0"/>
          <w:szCs w:val="24"/>
          <w14:ligatures w14:val="none"/>
        </w:rPr>
        <w:t>Podpis Wiceprezydenta</w:t>
      </w:r>
    </w:p>
    <w:p w14:paraId="35C258A3" w14:textId="77777777" w:rsidR="00276FDE" w:rsidRDefault="00276FDE" w:rsidP="00276FDE">
      <w:pPr>
        <w:ind w:left="-5"/>
      </w:pPr>
    </w:p>
    <w:p w14:paraId="143475FB" w14:textId="2DC48C1D" w:rsidR="00276FDE" w:rsidRPr="00276FDE" w:rsidRDefault="00276FDE" w:rsidP="00276FDE">
      <w:pPr>
        <w:ind w:left="-5"/>
      </w:pPr>
      <w:r w:rsidRPr="00276FDE">
        <w:t>Sitarz Sławomir</w:t>
      </w:r>
      <w:r>
        <w:t xml:space="preserve">- </w:t>
      </w:r>
      <w:r w:rsidRPr="00276FDE">
        <w:t xml:space="preserve">Kierownik Referatu Zarządzania </w:t>
      </w:r>
    </w:p>
    <w:p w14:paraId="6E33E2F9" w14:textId="683FEDB4" w:rsidR="00276FDE" w:rsidRDefault="00276FDE" w:rsidP="00276FDE">
      <w:pPr>
        <w:ind w:left="-5"/>
      </w:pPr>
      <w:r w:rsidRPr="00276FDE">
        <w:t>Kryzysowego i Obrony</w:t>
      </w:r>
    </w:p>
    <w:p w14:paraId="44705DEB" w14:textId="77777777" w:rsidR="00276FDE" w:rsidRDefault="00276FDE">
      <w:pPr>
        <w:ind w:left="-5"/>
      </w:pPr>
    </w:p>
    <w:p w14:paraId="76165744" w14:textId="6EF2899A" w:rsidR="00276FDE" w:rsidRDefault="00276FDE" w:rsidP="00276FDE">
      <w:pPr>
        <w:ind w:left="-5"/>
      </w:pPr>
      <w:r>
        <w:t>Akceptacja kierownika komórki organizacyjnej</w:t>
      </w:r>
    </w:p>
    <w:sectPr w:rsidR="00276FDE">
      <w:pgSz w:w="11906" w:h="16838"/>
      <w:pgMar w:top="1467" w:right="1512" w:bottom="14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3"/>
    <w:rsid w:val="00276FDE"/>
    <w:rsid w:val="009C3304"/>
    <w:rsid w:val="00E7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08CC"/>
  <w15:docId w15:val="{D0D26DD7-9CC5-49DD-91A2-1947A2FA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Budkowska Paulina</cp:lastModifiedBy>
  <cp:revision>2</cp:revision>
  <dcterms:created xsi:type="dcterms:W3CDTF">2023-12-21T07:18:00Z</dcterms:created>
  <dcterms:modified xsi:type="dcterms:W3CDTF">2023-12-21T07:18:00Z</dcterms:modified>
</cp:coreProperties>
</file>